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90C42B" w14:textId="28314607" w:rsidR="00FC30B5" w:rsidRPr="000B5683" w:rsidRDefault="000B5683" w:rsidP="00FC30B5">
      <w:pPr>
        <w:pStyle w:val="1"/>
      </w:pPr>
      <w:r>
        <w:t>2.2 ТЕХНОЛОГИЧЕСКОЕ ПРИСОЕДИНЕНИЕ К ЭЛЕКТРИЧЕСКИМ СЕТЯМ СЕТЕВОЙ ОРГАНИЗАЦИИ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="00FC30B5">
        <w:t>энергопринимающих устройств физических</w:t>
      </w:r>
      <w:r w:rsidR="00FC30B5">
        <w:rPr>
          <w:lang w:val="ru-RU"/>
        </w:rPr>
        <w:t xml:space="preserve"> лиц</w:t>
      </w:r>
      <w:r w:rsidR="00FC30B5">
        <w:t>, юридических лиц и индивидуальных предпринимателей максимальной</w:t>
      </w:r>
      <w:r w:rsidR="00FC30B5">
        <w:br/>
        <w:t>мощностью до 150 кВт при осуществлении технологического присоединения энергопринимающих устройств таких заявителей</w:t>
      </w:r>
      <w:r w:rsidR="00FC30B5">
        <w:br/>
      </w:r>
      <w:r w:rsidR="00FC30B5">
        <w:rPr>
          <w:lang w:val="ru-RU"/>
        </w:rPr>
        <w:t xml:space="preserve"> </w:t>
      </w:r>
      <w:r w:rsidR="00FC30B5">
        <w:t>на уровне напряжения</w:t>
      </w:r>
      <w:r w:rsidR="00FC30B5">
        <w:rPr>
          <w:lang w:val="ru-RU"/>
        </w:rPr>
        <w:t xml:space="preserve"> свыше</w:t>
      </w:r>
      <w:r w:rsidR="00FC30B5">
        <w:t xml:space="preserve"> 0,4 </w:t>
      </w:r>
      <w:proofErr w:type="spellStart"/>
      <w:r w:rsidR="00FC30B5">
        <w:t>кВ</w:t>
      </w:r>
      <w:proofErr w:type="spellEnd"/>
    </w:p>
    <w:p w14:paraId="0388E4BC" w14:textId="77777777" w:rsidR="00BB40A1" w:rsidRDefault="00BB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EB278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</w:p>
    <w:p w14:paraId="265189A0" w14:textId="77777777" w:rsidR="00FC30B5" w:rsidRPr="00E864F8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физическое лицо (далее - заявитель), имеющее намерение осуществить технологическое присоединение энергопринимающих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устройств, максимальная мощность которых составляет до 15 кВт включительно (с учетом ранее присоединенных в данной точке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присоединения энергопринимающих устройств), которые используются для бытовых и иных нужд, не связанных с осуществлением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предпринимательской деятельности, и электроснабжение которых предусматривается по одному источнику;</w:t>
      </w:r>
    </w:p>
    <w:p w14:paraId="21198569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юридическое лицо или индивидуальный предприниматель (далее - заявитель) в целях технологического присоединения по второй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или третьей категории надежности энергопринимающих устройств, максимальная мощность которых составляет до 150 кВт включительно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(с учетом ранее присоединенных в данной точке присоединения энергопринимающих устройств).</w:t>
      </w:r>
    </w:p>
    <w:p w14:paraId="6B1FCF27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Плата за технологическое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присоединение энергопринимающих устройств максимальной мощностью, не превышающей 15 кВт включительно (с учетом ранее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присоединенных в данной точке присоединения энергопринимающих устройств) устанавливается исходя из стоимости мероприятий 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технологическому присоединению в размере не более 550 рублей при присоединении заявителя, владеющего объектами, отнесенными 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третьей категории надежности (по одному источнику электроснабжения) при условии, что расстояние от границ участка заявителя до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 xml:space="preserve">объектов электросетевого хозяйства на уровне напряжения до 20 </w:t>
      </w:r>
      <w:proofErr w:type="spellStart"/>
      <w:r w:rsidRPr="00E864F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E864F8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необходимого заявителю класса напряжения сетевой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организации, в которую подана заявка, составляет не более 300 метров в городах и поселках городского типа и не более 500 метров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сельской местности.</w:t>
      </w:r>
    </w:p>
    <w:p w14:paraId="3E5B0C58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В границах муниципальных районов, городских округов и на внутригородских территориях городов федерального значения одно и то 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лицо может осуществить технологическое присоединение энергопринимающих устройств, принадлежащих ему на праве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или на ином законном основании, соответствующих критериям, указанным в абзаце первом настоящего пункта, с платой за технологическое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присоединение в размере, не превышающем 550 рублей, не более одного раза в течение 3 лет.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5F56B81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FE0A" w14:textId="77777777" w:rsidR="00FC30B5" w:rsidRPr="00E864F8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Положения о размере платы за технологическое присоединение, указанные в абзаце первом настоящего пункта, не могут быть применены</w:t>
      </w:r>
    </w:p>
    <w:p w14:paraId="2D03BF18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в следующих случаях:</w:t>
      </w:r>
    </w:p>
    <w:p w14:paraId="03C6C022" w14:textId="77777777" w:rsidR="00FC30B5" w:rsidRPr="00E864F8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 технологическом присоединении энергопринимающих устройств, принадлежащих лицам, владеющим земельным участком 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договору аренды, заключенному на срок не более одного года, на котором расположены присоединяемые энергопринимающие устройства;</w:t>
      </w:r>
    </w:p>
    <w:p w14:paraId="7AC5859B" w14:textId="77777777" w:rsidR="00FC30B5" w:rsidRPr="00E864F8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 технологическом присоединении энергопринимающих устройств, расположенных в жилых помещениях многоквартирных домов.</w:t>
      </w:r>
    </w:p>
    <w:p w14:paraId="06A3806D" w14:textId="78C019E0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При несоблюдении вышеуказанных критериев для применения платы в размере 550,00 рублей, размер платы за технологическое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присоединение рассчитывается исходя из утвержденных на период регулирования уполномоченным органом исполнительной власти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в области государственного регулирования тарифов стандартизированных тарифных ставок, либо ставок за единицу максимальной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мощности (руб./кВт).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3</w:t>
      </w:r>
    </w:p>
    <w:p w14:paraId="1E91FB5C" w14:textId="6164C18D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</w:p>
    <w:p w14:paraId="716222D9" w14:textId="29611DE8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____________________________</w:t>
      </w:r>
    </w:p>
    <w:p w14:paraId="20E5A8D0" w14:textId="0E260643" w:rsidR="00FC30B5" w:rsidRPr="00D72860" w:rsidRDefault="00FC30B5" w:rsidP="00FC3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86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3</w:t>
      </w:r>
      <w:r w:rsidRPr="00D72860">
        <w:rPr>
          <w:rFonts w:ascii="Times New Roman" w:hAnsi="Times New Roman" w:cs="Times New Roman"/>
          <w:sz w:val="20"/>
          <w:szCs w:val="20"/>
        </w:rPr>
        <w:t xml:space="preserve"> Приказ ФАС России от 29.08.2017 № 1135/17 "Об утверждении методических указаний по определению размера платы за технологическое присоединение</w:t>
      </w:r>
      <w:r w:rsidRPr="00D7286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72860">
        <w:rPr>
          <w:rFonts w:ascii="Times New Roman" w:hAnsi="Times New Roman" w:cs="Times New Roman"/>
          <w:sz w:val="20"/>
          <w:szCs w:val="20"/>
        </w:rPr>
        <w:t xml:space="preserve">к электрическим сетям" </w:t>
      </w:r>
      <w:r w:rsidRPr="00D72860">
        <w:rPr>
          <w:rFonts w:ascii="Times New Roman" w:hAnsi="Times New Roman" w:cs="Times New Roman"/>
          <w:sz w:val="20"/>
          <w:szCs w:val="20"/>
        </w:rPr>
        <w:br w:type="page"/>
      </w:r>
    </w:p>
    <w:p w14:paraId="4982857A" w14:textId="77777777" w:rsidR="00FC30B5" w:rsidRPr="00E864F8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 ОКАЗАНИЯ УСЛУГИ (ПРОЦЕССА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):</w:t>
      </w:r>
      <w:r w:rsidRPr="00E864F8">
        <w:t xml:space="preserve"> </w:t>
      </w:r>
      <w:r w:rsidRPr="00E864F8">
        <w:rPr>
          <w:rFonts w:ascii="Times New Roman" w:eastAsia="Times New Roman" w:hAnsi="Times New Roman" w:cs="Times New Roman"/>
          <w:bCs/>
          <w:sz w:val="24"/>
          <w:szCs w:val="24"/>
        </w:rPr>
        <w:t>намерение заявителя присоединить впервые вводимые в эксплуатацию, ранее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bCs/>
          <w:sz w:val="24"/>
          <w:szCs w:val="24"/>
        </w:rPr>
        <w:t>присоединенные энергопринимающие устройства, максимальная мощность которых увеличивается, а также в случаях, при которых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bCs/>
          <w:sz w:val="24"/>
          <w:szCs w:val="24"/>
        </w:rPr>
        <w:t>в отношении ранее присоединенных энергопринимающих устройств изменяются категория надежности электроснабжения, точки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bCs/>
          <w:sz w:val="24"/>
          <w:szCs w:val="24"/>
        </w:rPr>
        <w:t>присоединения, виды производственной деятельности, не влекущие пересмотр величины максимальной мощности, но изменяющие схему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bCs/>
          <w:sz w:val="24"/>
          <w:szCs w:val="24"/>
        </w:rPr>
        <w:t>внешнего электроснабжения таких энергопринимающих устройств.</w:t>
      </w:r>
    </w:p>
    <w:p w14:paraId="2F4775C8" w14:textId="77777777" w:rsidR="00FC30B5" w:rsidRPr="00E864F8" w:rsidRDefault="00FC30B5" w:rsidP="00FC3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4F8">
        <w:rPr>
          <w:rFonts w:ascii="Times New Roman" w:hAnsi="Times New Roman" w:cs="Times New Roman"/>
          <w:sz w:val="24"/>
          <w:szCs w:val="24"/>
        </w:rPr>
        <w:t>обеспечение сетевой организацией возможности осуществить действиями заявителя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hAnsi="Times New Roman" w:cs="Times New Roman"/>
          <w:sz w:val="24"/>
          <w:szCs w:val="24"/>
        </w:rPr>
        <w:t>фактическое присоединение объектов заявителя к электрическим сетям и фактический прием (подачу) напряжения и мощности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hAnsi="Times New Roman" w:cs="Times New Roman"/>
          <w:sz w:val="24"/>
          <w:szCs w:val="24"/>
        </w:rPr>
        <w:t>потребления энергопринимающими устройствами заявителя электрической энергии (мощности) в соответствии с 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hAnsi="Times New Roman" w:cs="Times New Roman"/>
          <w:sz w:val="24"/>
          <w:szCs w:val="24"/>
        </w:rPr>
        <w:t>Российской Федерации и на основании договоров, заключаемых заявителем на розничном рынке в целях обеспечения поставки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hAnsi="Times New Roman" w:cs="Times New Roman"/>
          <w:sz w:val="24"/>
          <w:szCs w:val="24"/>
        </w:rPr>
        <w:t>электрической энергии.</w:t>
      </w:r>
    </w:p>
    <w:p w14:paraId="637E590A" w14:textId="77777777" w:rsidR="00FC30B5" w:rsidRPr="00E864F8" w:rsidRDefault="00FC30B5" w:rsidP="00FC30B5">
      <w:pPr>
        <w:pStyle w:val="21"/>
        <w:shd w:val="clear" w:color="auto" w:fill="auto"/>
        <w:spacing w:line="274" w:lineRule="exact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ОБЩИЙ СРОК ОКАЗАНИЯ УСЛУГИ (ПРОЦЕССА): </w:t>
      </w:r>
      <w:r w:rsidRPr="00E864F8">
        <w:rPr>
          <w:sz w:val="24"/>
          <w:szCs w:val="24"/>
        </w:rPr>
        <w:t>в случаях осуществления технологического присоединения к электрическим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 xml:space="preserve">сетям классом напряжения до 20 </w:t>
      </w:r>
      <w:proofErr w:type="spellStart"/>
      <w:r w:rsidRPr="00E864F8">
        <w:rPr>
          <w:sz w:val="24"/>
          <w:szCs w:val="24"/>
        </w:rPr>
        <w:t>кВ</w:t>
      </w:r>
      <w:proofErr w:type="spellEnd"/>
      <w:r w:rsidRPr="00E864F8">
        <w:rPr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напряжения до границ участка, на котором расположены присоединяемые энергопринимающие устройства, составляет не более 300 метров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в городах и поселках городского типа и не более 500 метров в сельской местности:</w:t>
      </w:r>
    </w:p>
    <w:p w14:paraId="012AB73E" w14:textId="77777777" w:rsidR="00FC30B5" w:rsidRPr="00E864F8" w:rsidRDefault="00FC30B5" w:rsidP="00FC30B5">
      <w:pPr>
        <w:pStyle w:val="21"/>
        <w:numPr>
          <w:ilvl w:val="0"/>
          <w:numId w:val="2"/>
        </w:numPr>
        <w:shd w:val="clear" w:color="auto" w:fill="auto"/>
        <w:spacing w:line="274" w:lineRule="exact"/>
        <w:ind w:firstLine="0"/>
        <w:rPr>
          <w:sz w:val="24"/>
          <w:szCs w:val="24"/>
        </w:rPr>
      </w:pPr>
      <w:r w:rsidRPr="00E864F8">
        <w:rPr>
          <w:sz w:val="24"/>
          <w:szCs w:val="24"/>
        </w:rPr>
        <w:t>если от сетевой организации не требуется выполнение работ по строительству (реконструкции) объектов электросетевого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хозяйства, включенных (подлежащих включению) в инвестиционные программы сетевых организаций (в том числе смежных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сетевых организаций), и (или) объектов по производству электрической энергии, за исключением работ по строительству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объектов электросетевого хозяйства от существующих объектов электросетевого хозяйства до присоединяемых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энергопринимающих устройств и (или) объектов электроэнергетики - 4 месяца с даты заключения договора;</w:t>
      </w:r>
    </w:p>
    <w:p w14:paraId="5EC47A7F" w14:textId="77777777" w:rsidR="00FC30B5" w:rsidRPr="00E864F8" w:rsidRDefault="00FC30B5" w:rsidP="00FC30B5">
      <w:pPr>
        <w:pStyle w:val="21"/>
        <w:numPr>
          <w:ilvl w:val="0"/>
          <w:numId w:val="2"/>
        </w:numPr>
        <w:shd w:val="clear" w:color="auto" w:fill="auto"/>
        <w:tabs>
          <w:tab w:val="left" w:pos="709"/>
        </w:tabs>
        <w:spacing w:after="8" w:line="220" w:lineRule="exact"/>
        <w:ind w:firstLine="0"/>
        <w:rPr>
          <w:sz w:val="24"/>
          <w:szCs w:val="24"/>
        </w:rPr>
      </w:pPr>
      <w:r w:rsidRPr="00E864F8">
        <w:rPr>
          <w:sz w:val="24"/>
          <w:szCs w:val="24"/>
        </w:rPr>
        <w:t>в иных случаях - 6 месяцев с даты заключения договора.</w:t>
      </w:r>
    </w:p>
    <w:p w14:paraId="329C4416" w14:textId="77777777" w:rsidR="00FC30B5" w:rsidRDefault="00FC30B5" w:rsidP="00FC30B5">
      <w:pPr>
        <w:pStyle w:val="21"/>
        <w:shd w:val="clear" w:color="auto" w:fill="auto"/>
        <w:spacing w:line="220" w:lineRule="exact"/>
        <w:ind w:firstLine="0"/>
      </w:pPr>
      <w:r w:rsidRPr="00E864F8">
        <w:rPr>
          <w:sz w:val="24"/>
          <w:szCs w:val="24"/>
        </w:rPr>
        <w:t>При несоблюдении всех вышеуказанных условий - 1 год с даты заключения договора</w:t>
      </w:r>
      <w:r>
        <w:t>.</w:t>
      </w:r>
    </w:p>
    <w:p w14:paraId="2FECDF27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9A8DF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0345A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52328" w14:textId="0EAD3A30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DF797" w14:textId="15301F85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5E59D" w14:textId="18B6B000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A9C22" w14:textId="67949DAA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17061" w14:textId="59F1091C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76924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293CC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C998D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53A60" w14:textId="25E29ED9" w:rsidR="00FC30B5" w:rsidRDefault="00FC30B5" w:rsidP="00FC30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12FE83" w14:textId="77777777" w:rsidR="00FC30B5" w:rsidRDefault="00FC30B5" w:rsidP="00FC3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СОСТАВ, ПОСЛЕДОВАТЕЛЬНОСТЬ И СРОКИ ОКАЗАНИЯ УСЛУГИ (ПРОЦЕССА):</w:t>
      </w:r>
    </w:p>
    <w:tbl>
      <w:tblPr>
        <w:tblStyle w:val="a5"/>
        <w:tblW w:w="15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1"/>
        <w:gridCol w:w="2096"/>
        <w:gridCol w:w="2791"/>
        <w:gridCol w:w="3067"/>
        <w:gridCol w:w="1736"/>
        <w:gridCol w:w="3478"/>
      </w:tblGrid>
      <w:tr w:rsidR="00FC30B5" w14:paraId="10173CD0" w14:textId="77777777" w:rsidTr="00E13F8C">
        <w:tc>
          <w:tcPr>
            <w:tcW w:w="469" w:type="dxa"/>
          </w:tcPr>
          <w:p w14:paraId="11BAB55E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81" w:type="dxa"/>
          </w:tcPr>
          <w:p w14:paraId="42CC9F74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</w:p>
        </w:tc>
        <w:tc>
          <w:tcPr>
            <w:tcW w:w="2096" w:type="dxa"/>
          </w:tcPr>
          <w:p w14:paraId="3F0E09D8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Условие этапа</w:t>
            </w:r>
          </w:p>
        </w:tc>
        <w:tc>
          <w:tcPr>
            <w:tcW w:w="2791" w:type="dxa"/>
          </w:tcPr>
          <w:p w14:paraId="189C821B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3067" w:type="dxa"/>
          </w:tcPr>
          <w:p w14:paraId="47380918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</w:tc>
        <w:tc>
          <w:tcPr>
            <w:tcW w:w="1736" w:type="dxa"/>
          </w:tcPr>
          <w:p w14:paraId="4BC1BBE7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478" w:type="dxa"/>
          </w:tcPr>
          <w:p w14:paraId="6252731E" w14:textId="77777777" w:rsidR="00FC30B5" w:rsidRDefault="00FC30B5" w:rsidP="00E13F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нормативно правовой акт</w:t>
            </w:r>
          </w:p>
        </w:tc>
      </w:tr>
      <w:tr w:rsidR="00FC30B5" w14:paraId="5D41F46B" w14:textId="77777777" w:rsidTr="00E13F8C">
        <w:trPr>
          <w:trHeight w:val="7430"/>
        </w:trPr>
        <w:tc>
          <w:tcPr>
            <w:tcW w:w="469" w:type="dxa"/>
          </w:tcPr>
          <w:p w14:paraId="6684B527" w14:textId="77777777" w:rsidR="00FC30B5" w:rsidRDefault="00FC30B5" w:rsidP="00E13F8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81" w:type="dxa"/>
          </w:tcPr>
          <w:p w14:paraId="0C267ED9" w14:textId="77777777" w:rsidR="00FC30B5" w:rsidRPr="00EE690E" w:rsidRDefault="00FC30B5" w:rsidP="00E13F8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Style w:val="2105pt"/>
                <w:rFonts w:eastAsia="Calibri"/>
              </w:rPr>
              <w:t>Заключение договора об осуществлении технологического присоединения к электрическим сетям, включая подачу заявки на технологическое присоединение и оплату счёта за оказание услуги.</w:t>
            </w:r>
          </w:p>
        </w:tc>
        <w:tc>
          <w:tcPr>
            <w:tcW w:w="2096" w:type="dxa"/>
          </w:tcPr>
          <w:p w14:paraId="3BDD10F7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690E">
              <w:rPr>
                <w:rFonts w:ascii="Times New Roman" w:eastAsia="Times New Roman" w:hAnsi="Times New Roman" w:cs="Times New Roman"/>
              </w:rPr>
              <w:t>Направление заявки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сетевую организацию,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объекты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электросетевого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хозяйства которой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расположены на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наименьшем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расстоянии от границ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участка заявителя</w:t>
            </w:r>
          </w:p>
        </w:tc>
        <w:tc>
          <w:tcPr>
            <w:tcW w:w="2791" w:type="dxa"/>
          </w:tcPr>
          <w:p w14:paraId="2AE0AE2C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Заявитель подает заявку на технологическое присоединение;</w:t>
            </w:r>
          </w:p>
          <w:p w14:paraId="08868AAE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</w:tcPr>
          <w:p w14:paraId="2C82EDA2" w14:textId="77777777" w:rsidR="00FC30B5" w:rsidRPr="00EE690E" w:rsidRDefault="00FC30B5" w:rsidP="00E13F8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E690E">
              <w:rPr>
                <w:rFonts w:ascii="Times New Roman" w:eastAsia="Times New Roman" w:hAnsi="Times New Roman" w:cs="Times New Roman"/>
              </w:rPr>
              <w:t>Электронная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(в том числе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посредством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переадресации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официальный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сайт,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обеспечивающий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направлять заявку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и прилагаемые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документы)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В случае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отсутствия 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заявителя личного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кабинета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потребителя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сетевая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регистрирует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личный кабинет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сообщает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заявителю порядок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доступа к личному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кабинету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потребителя,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включая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получение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первоначального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доступа к личному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кабинету,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регистрацию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авторизацию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потребителя,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В случае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необходимости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доступ к личному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кабинету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потребителя на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безвозмездной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</w:p>
        </w:tc>
        <w:tc>
          <w:tcPr>
            <w:tcW w:w="1736" w:type="dxa"/>
          </w:tcPr>
          <w:p w14:paraId="35E33113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ограничен</w:t>
            </w:r>
          </w:p>
        </w:tc>
        <w:tc>
          <w:tcPr>
            <w:tcW w:w="3478" w:type="dxa"/>
          </w:tcPr>
          <w:p w14:paraId="67DE7BD8" w14:textId="55DC87BD" w:rsidR="00FC30B5" w:rsidRPr="001D69CE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690E">
              <w:rPr>
                <w:rStyle w:val="2105pt"/>
                <w:rFonts w:eastAsia="Calibri"/>
              </w:rPr>
              <w:t>Пункты 8-10, 12(1),</w:t>
            </w:r>
            <w:r>
              <w:rPr>
                <w:rStyle w:val="2105pt"/>
                <w:rFonts w:eastAsia="Calibri"/>
              </w:rPr>
              <w:t xml:space="preserve"> </w:t>
            </w:r>
            <w:r w:rsidRPr="00EE690E">
              <w:rPr>
                <w:rStyle w:val="2105pt"/>
                <w:rFonts w:eastAsia="Calibri"/>
              </w:rPr>
              <w:t>14, 103-109 Правил</w:t>
            </w:r>
            <w:r>
              <w:rPr>
                <w:rStyle w:val="2105pt"/>
                <w:rFonts w:eastAsia="Calibri"/>
              </w:rPr>
              <w:t xml:space="preserve"> </w:t>
            </w:r>
            <w:r w:rsidRPr="00EE690E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присоеденения</w:t>
            </w:r>
            <w:r>
              <w:rPr>
                <w:rStyle w:val="2105pt"/>
                <w:rFonts w:eastAsia="Calibri"/>
                <w:vertAlign w:val="superscript"/>
              </w:rPr>
              <w:t>4</w:t>
            </w:r>
          </w:p>
        </w:tc>
      </w:tr>
    </w:tbl>
    <w:p w14:paraId="464A9CBD" w14:textId="77777777" w:rsidR="00FC30B5" w:rsidRDefault="00FC30B5" w:rsidP="00FC30B5">
      <w:pPr>
        <w:pStyle w:val="af7"/>
        <w:shd w:val="clear" w:color="auto" w:fill="auto"/>
        <w:rPr>
          <w:vertAlign w:val="superscript"/>
          <w:lang w:val="ru-RU"/>
        </w:rPr>
      </w:pPr>
    </w:p>
    <w:p w14:paraId="376BDFC5" w14:textId="77777777" w:rsidR="00FC30B5" w:rsidRDefault="00FC30B5" w:rsidP="00FC30B5">
      <w:pPr>
        <w:pStyle w:val="af7"/>
        <w:shd w:val="clear" w:color="auto" w:fill="auto"/>
        <w:rPr>
          <w:vertAlign w:val="superscript"/>
          <w:lang w:val="ru-RU"/>
        </w:rPr>
      </w:pPr>
    </w:p>
    <w:p w14:paraId="40744BA1" w14:textId="77777777" w:rsidR="00FC30B5" w:rsidRDefault="00FC30B5" w:rsidP="00FC30B5">
      <w:pPr>
        <w:pStyle w:val="af7"/>
        <w:shd w:val="clear" w:color="auto" w:fill="auto"/>
        <w:rPr>
          <w:vertAlign w:val="superscript"/>
          <w:lang w:val="ru-RU"/>
        </w:rPr>
      </w:pPr>
    </w:p>
    <w:p w14:paraId="488628C5" w14:textId="0745E87F" w:rsidR="00FC30B5" w:rsidRDefault="00FC30B5" w:rsidP="00FC30B5">
      <w:pPr>
        <w:pStyle w:val="af7"/>
        <w:shd w:val="clear" w:color="auto" w:fill="auto"/>
      </w:pPr>
      <w:r>
        <w:rPr>
          <w:vertAlign w:val="superscript"/>
          <w:lang w:val="ru-RU"/>
        </w:rPr>
        <w:t>4</w:t>
      </w:r>
      <w: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>
        <w:rPr>
          <w:lang w:val="ru-RU"/>
        </w:rPr>
        <w:t xml:space="preserve"> </w:t>
      </w:r>
      <w:r>
        <w:t>также объектов электросетевого хозяйства, принадлежащих сетевым организациям и иным лицам, к электрическим сетям, утвержденные постановлением</w:t>
      </w:r>
      <w:r>
        <w:rPr>
          <w:lang w:val="ru-RU"/>
        </w:rPr>
        <w:t xml:space="preserve"> </w:t>
      </w:r>
      <w:r>
        <w:t>Правительства Российской Федерации от 27.12.2004 №861</w:t>
      </w:r>
    </w:p>
    <w:tbl>
      <w:tblPr>
        <w:tblStyle w:val="a5"/>
        <w:tblW w:w="15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1"/>
        <w:gridCol w:w="2096"/>
        <w:gridCol w:w="2904"/>
        <w:gridCol w:w="2954"/>
        <w:gridCol w:w="1736"/>
        <w:gridCol w:w="3478"/>
      </w:tblGrid>
      <w:tr w:rsidR="00FC30B5" w14:paraId="636DF156" w14:textId="77777777" w:rsidTr="00E13F8C">
        <w:trPr>
          <w:trHeight w:val="80"/>
        </w:trPr>
        <w:tc>
          <w:tcPr>
            <w:tcW w:w="469" w:type="dxa"/>
          </w:tcPr>
          <w:p w14:paraId="5DD6D9C4" w14:textId="77777777" w:rsidR="00FC30B5" w:rsidRDefault="00FC30B5" w:rsidP="00E13F8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66D29FE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74F0BD6D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2904" w:type="dxa"/>
          </w:tcPr>
          <w:p w14:paraId="529FFBBA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 </w:t>
            </w:r>
            <w:r w:rsidRPr="001D69CE">
              <w:rPr>
                <w:rFonts w:ascii="Times New Roman" w:eastAsia="Times New Roman" w:hAnsi="Times New Roman" w:cs="Times New Roman"/>
              </w:rPr>
              <w:t>Сетевая организация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направляет заявителю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уведомление содержащее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указание на сведения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(документы), которые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соответствии с Правилами ТП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должны быть представлены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заявителем в дополнение 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представленным сведениям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(документам), а также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указание на необходимость 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представления в течение 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рабочих дней со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получения уведомления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представить недостающие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сведения и (или) документы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приостанавливает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рассмотрение заявки до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получения недостающих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сведений и документов</w:t>
            </w:r>
          </w:p>
        </w:tc>
        <w:tc>
          <w:tcPr>
            <w:tcW w:w="2954" w:type="dxa"/>
          </w:tcPr>
          <w:p w14:paraId="5E88F598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</w:tcPr>
          <w:p w14:paraId="4742BF0E" w14:textId="77777777" w:rsidR="00FC30B5" w:rsidRDefault="00FC30B5" w:rsidP="00E13F8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рабочих дня после получения заявки</w:t>
            </w:r>
          </w:p>
        </w:tc>
        <w:tc>
          <w:tcPr>
            <w:tcW w:w="3478" w:type="dxa"/>
          </w:tcPr>
          <w:p w14:paraId="66A85912" w14:textId="77777777" w:rsidR="00FC30B5" w:rsidRPr="001D69CE" w:rsidRDefault="00FC30B5" w:rsidP="00E13F8C">
            <w:pPr>
              <w:ind w:left="-16" w:hanging="16"/>
              <w:jc w:val="both"/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7999F767" w14:textId="77777777" w:rsidTr="00E13F8C">
        <w:trPr>
          <w:trHeight w:val="80"/>
        </w:trPr>
        <w:tc>
          <w:tcPr>
            <w:tcW w:w="469" w:type="dxa"/>
          </w:tcPr>
          <w:p w14:paraId="0BD05C5E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37439BF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2CD825AF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Непредставление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заявителем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недостающих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документов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сведений в течение 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рабочих дней со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получения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уведомления</w:t>
            </w:r>
          </w:p>
        </w:tc>
        <w:tc>
          <w:tcPr>
            <w:tcW w:w="2904" w:type="dxa"/>
          </w:tcPr>
          <w:p w14:paraId="7B2A877B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1.3. Аннулирование заявки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уведомление об этом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заявителя</w:t>
            </w:r>
          </w:p>
        </w:tc>
        <w:tc>
          <w:tcPr>
            <w:tcW w:w="2954" w:type="dxa"/>
          </w:tcPr>
          <w:p w14:paraId="299C82E1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</w:tcPr>
          <w:p w14:paraId="7455BBB1" w14:textId="77777777" w:rsidR="00FC30B5" w:rsidRDefault="00FC30B5" w:rsidP="00E13F8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3 рабочих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со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принятия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решения об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аннулировании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заявки</w:t>
            </w:r>
          </w:p>
        </w:tc>
        <w:tc>
          <w:tcPr>
            <w:tcW w:w="3478" w:type="dxa"/>
          </w:tcPr>
          <w:p w14:paraId="180E59DB" w14:textId="77777777" w:rsidR="00FC30B5" w:rsidRDefault="00FC30B5" w:rsidP="00E13F8C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30B5" w14:paraId="604EDD24" w14:textId="77777777" w:rsidTr="00E13F8C">
        <w:trPr>
          <w:trHeight w:val="80"/>
        </w:trPr>
        <w:tc>
          <w:tcPr>
            <w:tcW w:w="469" w:type="dxa"/>
          </w:tcPr>
          <w:p w14:paraId="22B52A3F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B22883C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16D11501" w14:textId="77777777" w:rsidR="00FC30B5" w:rsidRPr="001D69CE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F8B78" w14:textId="77777777" w:rsidR="00FC30B5" w:rsidRPr="001D69CE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 xml:space="preserve">1.4. Направление сетевой организацией в адрес субъекта розничного рынка, указанного в заявке, с которым заявитель намеревается заключить договор, обеспечивающий продажу электрической энергии (мощности) на розничном рынке, копию заявки, а также копии документов, прилагаемых к заявке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7F11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58E6A" w14:textId="77777777" w:rsidR="00FC30B5" w:rsidRPr="001D69CE" w:rsidRDefault="00FC30B5" w:rsidP="00E13F8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Не позднее 2 рабочих дней со дня поступления заявки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526D0" w14:textId="77777777" w:rsidR="00FC30B5" w:rsidRDefault="00FC30B5" w:rsidP="00E13F8C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 xml:space="preserve">Пункт 107, 10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72565892" w14:textId="77777777" w:rsidTr="00E13F8C">
        <w:trPr>
          <w:trHeight w:val="80"/>
        </w:trPr>
        <w:tc>
          <w:tcPr>
            <w:tcW w:w="469" w:type="dxa"/>
          </w:tcPr>
          <w:p w14:paraId="4C869747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62665988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0B858EFA" w14:textId="77777777" w:rsidR="00FC30B5" w:rsidRPr="001D69CE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Заявка,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соответствующая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Правилам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технологического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присоединения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AB4C2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1.5 Размещение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организацией в Личном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кабинете заявителя:</w:t>
            </w:r>
            <w:r>
              <w:rPr>
                <w:rStyle w:val="2105pt"/>
                <w:rFonts w:eastAsia="Calibri"/>
              </w:rPr>
              <w:t xml:space="preserve"> </w:t>
            </w:r>
          </w:p>
          <w:p w14:paraId="04854934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условий типового договора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 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присоединения к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электрическим сетям;</w:t>
            </w:r>
          </w:p>
          <w:p w14:paraId="0855F163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технических условий;</w:t>
            </w:r>
          </w:p>
          <w:p w14:paraId="641A1DDB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счета для внесения платы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(части платы) за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технологическое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присоединение;</w:t>
            </w:r>
          </w:p>
          <w:p w14:paraId="58F851EB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инструкции, содержащей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последовательный перечень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мероприятий,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обеспечивающих безопасное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осуществление действиями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заявителя фактического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присоединения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фактического приема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напряжения и мощности;</w:t>
            </w:r>
          </w:p>
          <w:p w14:paraId="496B8BC6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проекта договора,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обеспечивающего продажу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электрической энергии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(мощности) на розничном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рынке, подписанного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усиленной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квалифицированной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электронной подписью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уполномоченного лица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гарантирующего поставщика,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указанного в заявке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DF7E2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617C" w14:textId="77777777" w:rsidR="00FC30B5" w:rsidRDefault="00FC30B5" w:rsidP="00E13F8C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10 рабочих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дней со дня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поступления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заявки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7975C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105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38373351" w14:textId="77777777" w:rsidTr="00E13F8C">
        <w:trPr>
          <w:trHeight w:val="80"/>
        </w:trPr>
        <w:tc>
          <w:tcPr>
            <w:tcW w:w="469" w:type="dxa"/>
          </w:tcPr>
          <w:p w14:paraId="7590C30F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4D98178D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54DC" w14:textId="77777777" w:rsidR="00FC30B5" w:rsidRPr="001D69CE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Оплата заявителем счета, выставленного сетевой организации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0778D" w14:textId="77777777" w:rsidR="00FC30B5" w:rsidRPr="00AB378E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1.6. Уведомление заявителя о заключении договора ТП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75130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266AB" w14:textId="77777777" w:rsidR="00FC30B5" w:rsidRPr="00AB378E" w:rsidRDefault="00FC30B5" w:rsidP="00E13F8C">
            <w:pPr>
              <w:ind w:left="34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В течение 5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рабочих дней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со дня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выставления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сетевой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организацией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счета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98BDC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106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3F275084" w14:textId="77777777" w:rsidTr="00E13F8C">
        <w:trPr>
          <w:trHeight w:val="80"/>
        </w:trPr>
        <w:tc>
          <w:tcPr>
            <w:tcW w:w="469" w:type="dxa"/>
          </w:tcPr>
          <w:p w14:paraId="38B86D56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6475DF4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C07B9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112E1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1.6.1. Уведомление субъекта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розничного рынка, указанного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в заявке об оплате счета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E374D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C5E97" w14:textId="77777777" w:rsidR="00FC30B5" w:rsidRDefault="00FC30B5" w:rsidP="00E13F8C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рабочего дня,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следующего за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днем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поступления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сведений об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оплате счета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5839F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FC30B5" w14:paraId="48863C91" w14:textId="77777777" w:rsidTr="00E13F8C">
        <w:trPr>
          <w:trHeight w:val="80"/>
        </w:trPr>
        <w:tc>
          <w:tcPr>
            <w:tcW w:w="469" w:type="dxa"/>
          </w:tcPr>
          <w:p w14:paraId="6248B084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9A8AC9E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2FC1E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Несоблюдение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заявителем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обязанности по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оплате выставленного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установленный срок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EF91E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1.7. Аннулирование заявки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7D53B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C1066" w14:textId="77777777" w:rsidR="00FC30B5" w:rsidRDefault="00FC30B5" w:rsidP="00E13F8C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в течение 2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рабочих дней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со дня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истечения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срока оплаты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организацией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FC56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FC30B5" w14:paraId="6D7C61C3" w14:textId="77777777" w:rsidTr="00E13F8C">
        <w:trPr>
          <w:trHeight w:val="80"/>
        </w:trPr>
        <w:tc>
          <w:tcPr>
            <w:tcW w:w="469" w:type="dxa"/>
          </w:tcPr>
          <w:p w14:paraId="60CE71E6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6AF45B9E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BBF26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0ED4C" w14:textId="77777777" w:rsidR="00FC30B5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1.7.1. Уведомление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организацией субъекта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розничного рынка, указанного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в заявке об аннулировании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заявки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C43F0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74B65" w14:textId="77777777" w:rsidR="00FC30B5" w:rsidRDefault="00FC30B5" w:rsidP="00E13F8C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в течение 2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рабочих дней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со дня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истечения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срока оплаты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292D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FC30B5" w14:paraId="5721C5CF" w14:textId="77777777" w:rsidTr="00E13F8C">
        <w:trPr>
          <w:trHeight w:val="80"/>
        </w:trPr>
        <w:tc>
          <w:tcPr>
            <w:tcW w:w="469" w:type="dxa"/>
          </w:tcPr>
          <w:p w14:paraId="57BF5B71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 w:val="restart"/>
          </w:tcPr>
          <w:p w14:paraId="6323E394" w14:textId="3E5AD406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83A">
              <w:rPr>
                <w:rFonts w:ascii="Times New Roman" w:eastAsia="Times New Roman" w:hAnsi="Times New Roman" w:cs="Times New Roman"/>
              </w:rPr>
              <w:t>Выполнение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технологическому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присоединению,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предусмотренных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условиями типового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договора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техническими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 xml:space="preserve">условиями 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E8353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  <w:r w:rsidRPr="00E13F8C">
              <w:rPr>
                <w:rStyle w:val="2105pt"/>
                <w:rFonts w:eastAsia="Calibri"/>
                <w:color w:val="000000" w:themeColor="text1"/>
              </w:rPr>
              <w:t>Осуществляется вне зависимости от исполнения обязательств заявителем (за исключением обязательств по оплате счета)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0E9D5" w14:textId="77777777" w:rsidR="00FC30B5" w:rsidRPr="00AB378E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1.8 Разработка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организацией проектной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документации согласно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обязательствам,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предусмотренным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техническими условиями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772C2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A6946" w14:textId="77777777" w:rsidR="00FC30B5" w:rsidRPr="00AB378E" w:rsidRDefault="00FC30B5" w:rsidP="00E13F8C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В соотв. с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типового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договора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57261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16, 18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3C168BB0" w14:textId="77777777" w:rsidTr="00E13F8C">
        <w:trPr>
          <w:trHeight w:val="80"/>
        </w:trPr>
        <w:tc>
          <w:tcPr>
            <w:tcW w:w="469" w:type="dxa"/>
          </w:tcPr>
          <w:p w14:paraId="45AE767B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/>
          </w:tcPr>
          <w:p w14:paraId="5104362F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F7953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E2D3B" w14:textId="77777777" w:rsidR="00FC30B5" w:rsidRPr="00AB378E" w:rsidRDefault="00FC30B5" w:rsidP="00E13F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1.9. Выполнение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организацией технических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условий, включая установку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допуск в эксплуатацию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приборов учета электрической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энергии и мощности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A2698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78037" w14:textId="77777777" w:rsidR="00FC30B5" w:rsidRPr="00AB378E" w:rsidRDefault="00FC30B5" w:rsidP="00E13F8C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В соотв. с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типового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договора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EA682" w14:textId="77777777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108, 109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608E9931" w14:textId="77777777" w:rsidTr="00E13F8C">
        <w:trPr>
          <w:trHeight w:val="4032"/>
        </w:trPr>
        <w:tc>
          <w:tcPr>
            <w:tcW w:w="469" w:type="dxa"/>
          </w:tcPr>
          <w:p w14:paraId="47F9BD32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2DC1455" w14:textId="1FEC4FAE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6004F3AB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4CB73" w14:textId="55F0C09F" w:rsidR="00FC30B5" w:rsidRPr="00F864F1" w:rsidRDefault="00F864F1" w:rsidP="00F864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  <w:vertAlign w:val="superscript"/>
              </w:rPr>
            </w:pPr>
            <w:r w:rsidRPr="00F864F1">
              <w:rPr>
                <w:rStyle w:val="2105pt"/>
                <w:rFonts w:eastAsia="Calibri"/>
              </w:rPr>
              <w:t>1.10. Осуществление сетевой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организацией мероприятий по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подключению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энергопринимающих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устройств под действие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устройств сетевой,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противоаварийной и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режимной автоматики, а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также выполнение заявителем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и сетевой организацией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требований по созданию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(модернизации) комплексов и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устройств релейной защиты и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автоматики в порядке,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предусмотренном Правилами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технологического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функционирования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электроэнергетических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систем</w:t>
            </w:r>
            <w:r w:rsidR="00E13F8C" w:rsidRPr="00E13F8C">
              <w:rPr>
                <w:rStyle w:val="2105pt"/>
                <w:rFonts w:eastAsia="Calibri"/>
                <w:color w:val="000000" w:themeColor="text1"/>
                <w:vertAlign w:val="superscript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DDCF0" w14:textId="32D9DE51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194B7" w14:textId="06457D05" w:rsidR="00FC30B5" w:rsidRPr="0048583A" w:rsidRDefault="00FC30B5" w:rsidP="00E13F8C">
            <w:pPr>
              <w:ind w:left="34"/>
              <w:jc w:val="center"/>
              <w:rPr>
                <w:rStyle w:val="2105pt"/>
                <w:rFonts w:eastAsia="Calibri"/>
              </w:rPr>
            </w:pP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30CCC" w14:textId="31E70206" w:rsidR="00FC30B5" w:rsidRDefault="00FC30B5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</w:t>
            </w:r>
            <w:r w:rsidR="00F864F1">
              <w:rPr>
                <w:rStyle w:val="2105pt"/>
                <w:rFonts w:eastAsia="Calibri"/>
              </w:rPr>
              <w:t>16, 18</w:t>
            </w:r>
            <w:r>
              <w:rPr>
                <w:rStyle w:val="2105pt"/>
                <w:rFonts w:eastAsia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1DDFE5F0" w14:textId="77777777" w:rsidR="00E13F8C" w:rsidRDefault="00E13F8C" w:rsidP="00E13F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</w:p>
    <w:p w14:paraId="6BE0C4D9" w14:textId="2D9A9200" w:rsidR="00E13F8C" w:rsidRPr="00E13F8C" w:rsidRDefault="00E13F8C" w:rsidP="00E13F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F8C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6 </w:t>
      </w:r>
      <w:r w:rsidRPr="00E13F8C">
        <w:rPr>
          <w:rFonts w:ascii="Times New Roman" w:hAnsi="Times New Roman" w:cs="Times New Roman"/>
          <w:sz w:val="20"/>
          <w:szCs w:val="20"/>
        </w:rPr>
        <w:t>Правила технологического функционирования электроэнергетических систем, утвержденные постановлением Правительства Российской Федерации от 13 августа</w:t>
      </w:r>
    </w:p>
    <w:p w14:paraId="28ECA781" w14:textId="77777777" w:rsidR="00E13F8C" w:rsidRPr="00E13F8C" w:rsidRDefault="00E13F8C" w:rsidP="00E13F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F8C">
        <w:rPr>
          <w:rFonts w:ascii="Times New Roman" w:hAnsi="Times New Roman" w:cs="Times New Roman"/>
          <w:sz w:val="20"/>
          <w:szCs w:val="20"/>
        </w:rPr>
        <w:t>2018 г. N 937 "Об утверждении Правил технологического функционирования электроэнергетических систем и о внесении изменений в некоторые акты Правительства</w:t>
      </w:r>
    </w:p>
    <w:p w14:paraId="19E2BE48" w14:textId="77777777" w:rsidR="00E13F8C" w:rsidRPr="00E13F8C" w:rsidRDefault="00E13F8C" w:rsidP="00E13F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F8C">
        <w:rPr>
          <w:rFonts w:ascii="Times New Roman" w:hAnsi="Times New Roman" w:cs="Times New Roman"/>
          <w:sz w:val="20"/>
          <w:szCs w:val="20"/>
        </w:rPr>
        <w:t>Российской Федерации"</w:t>
      </w:r>
    </w:p>
    <w:p w14:paraId="28AAC930" w14:textId="2AAA8F66" w:rsidR="00E13F8C" w:rsidRPr="00E13F8C" w:rsidRDefault="00E13F8C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5"/>
        <w:tblW w:w="15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1"/>
        <w:gridCol w:w="2096"/>
        <w:gridCol w:w="2791"/>
        <w:gridCol w:w="3067"/>
        <w:gridCol w:w="1736"/>
        <w:gridCol w:w="3478"/>
      </w:tblGrid>
      <w:tr w:rsidR="00FC30B5" w14:paraId="20292480" w14:textId="77777777" w:rsidTr="00E13F8C">
        <w:trPr>
          <w:trHeight w:val="80"/>
        </w:trPr>
        <w:tc>
          <w:tcPr>
            <w:tcW w:w="469" w:type="dxa"/>
          </w:tcPr>
          <w:p w14:paraId="5997D7A6" w14:textId="1534ACE0" w:rsidR="00FC30B5" w:rsidRP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2181" w:type="dxa"/>
          </w:tcPr>
          <w:p w14:paraId="3138D5E5" w14:textId="221796E7" w:rsidR="00FC30B5" w:rsidRDefault="00F864F1" w:rsidP="00F864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864F1">
              <w:rPr>
                <w:rFonts w:ascii="Times New Roman" w:eastAsia="Times New Roman" w:hAnsi="Times New Roman" w:cs="Times New Roman"/>
              </w:rPr>
              <w:t>Осуществление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сетевой организацией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фактического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присоединения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объектов заявителя к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электрическим сетям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и фактического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приема (подачи)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напряжения и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мощности,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оформление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документов об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осуществлении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технологического</w:t>
            </w:r>
            <w:r w:rsidR="00D7286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4F1">
              <w:rPr>
                <w:rFonts w:ascii="Times New Roman" w:eastAsia="Times New Roman" w:hAnsi="Times New Roman" w:cs="Times New Roman"/>
              </w:rPr>
              <w:t>присоединения.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6C727CD1" w14:textId="19900E8C" w:rsidR="00FC30B5" w:rsidRPr="00F864F1" w:rsidRDefault="00F864F1" w:rsidP="00F864F1">
            <w:pPr>
              <w:jc w:val="both"/>
              <w:rPr>
                <w:rStyle w:val="2105pt"/>
                <w:rFonts w:eastAsia="Calibri"/>
                <w:color w:val="000000" w:themeColor="text1"/>
              </w:rPr>
            </w:pPr>
            <w:r w:rsidRPr="00F864F1">
              <w:rPr>
                <w:rStyle w:val="2105pt"/>
                <w:rFonts w:eastAsia="Calibri"/>
                <w:color w:val="000000" w:themeColor="text1"/>
              </w:rPr>
              <w:t>Выполнение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заявителем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технических условий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B5AD4" w14:textId="6C4CE9A7" w:rsidR="00FC30B5" w:rsidRPr="00F864F1" w:rsidRDefault="00F864F1" w:rsidP="00F864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  <w:color w:val="000000" w:themeColor="text1"/>
              </w:rPr>
            </w:pPr>
            <w:r w:rsidRPr="00F864F1">
              <w:rPr>
                <w:rStyle w:val="2105pt"/>
                <w:rFonts w:eastAsia="Calibri"/>
                <w:color w:val="000000" w:themeColor="text1"/>
              </w:rPr>
              <w:t>2.1. Проверка выполнения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заявителем и сетевой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организацией технических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условий в соответствии с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разделом IX Правил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технологического</w:t>
            </w:r>
            <w:r w:rsidR="00D72860">
              <w:rPr>
                <w:rStyle w:val="2105pt"/>
                <w:rFonts w:eastAsia="Calibri"/>
                <w:color w:val="000000" w:themeColor="text1"/>
              </w:rPr>
              <w:t xml:space="preserve"> </w:t>
            </w:r>
            <w:r w:rsidRPr="00F864F1">
              <w:rPr>
                <w:rStyle w:val="2105pt"/>
                <w:rFonts w:eastAsia="Calibri"/>
                <w:color w:val="000000" w:themeColor="text1"/>
              </w:rPr>
              <w:t>присоединения</w:t>
            </w: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86F6D" w14:textId="77777777" w:rsidR="00FC30B5" w:rsidRPr="0048583A" w:rsidRDefault="00FC30B5" w:rsidP="00E13F8C">
            <w:pPr>
              <w:jc w:val="both"/>
              <w:rPr>
                <w:rStyle w:val="2105pt"/>
                <w:rFonts w:eastAsia="Calibri"/>
                <w:color w:val="FF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77E8B" w14:textId="77777777" w:rsidR="00FC30B5" w:rsidRPr="0048583A" w:rsidRDefault="00FC30B5" w:rsidP="00E13F8C">
            <w:pPr>
              <w:ind w:left="34"/>
              <w:jc w:val="center"/>
              <w:rPr>
                <w:rStyle w:val="2105pt"/>
                <w:rFonts w:eastAsia="Calibri"/>
                <w:color w:val="FF0000"/>
              </w:rPr>
            </w:pP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E5B16" w14:textId="506C843B" w:rsidR="00FC30B5" w:rsidRPr="0048583A" w:rsidRDefault="00F864F1" w:rsidP="00E13F8C">
            <w:pPr>
              <w:ind w:left="-16" w:hanging="16"/>
              <w:jc w:val="both"/>
              <w:rPr>
                <w:rStyle w:val="2105pt"/>
                <w:rFonts w:eastAsia="Calibri"/>
                <w:color w:val="FF0000"/>
              </w:rPr>
            </w:pPr>
            <w:r>
              <w:rPr>
                <w:rStyle w:val="2105pt"/>
                <w:rFonts w:eastAsia="Calibri"/>
              </w:rPr>
              <w:t xml:space="preserve">Пункт 16, 18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567A0674" w14:textId="77777777" w:rsidTr="00E13F8C">
        <w:trPr>
          <w:trHeight w:val="80"/>
        </w:trPr>
        <w:tc>
          <w:tcPr>
            <w:tcW w:w="469" w:type="dxa"/>
          </w:tcPr>
          <w:p w14:paraId="6569FD3E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2E251CF3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60D45F8E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2BD27" w14:textId="03AB184F" w:rsidR="00FC30B5" w:rsidRPr="0048583A" w:rsidRDefault="00F864F1" w:rsidP="00F864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F864F1">
              <w:rPr>
                <w:rStyle w:val="2105pt"/>
                <w:rFonts w:eastAsia="Calibri"/>
              </w:rPr>
              <w:t>2.1.1. Направление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заявителем уведомления в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сетевую организацию о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выполнении технических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условий с необходимым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пакетом документов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F5098" w14:textId="19F977CE" w:rsidR="00FC30B5" w:rsidRDefault="00F864F1" w:rsidP="00E13F8C">
            <w:pPr>
              <w:jc w:val="both"/>
              <w:rPr>
                <w:rStyle w:val="2105pt"/>
                <w:rFonts w:eastAsia="Calibri"/>
              </w:rPr>
            </w:pPr>
            <w:r w:rsidRPr="00F864F1"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39F60" w14:textId="77669689" w:rsidR="00FC30B5" w:rsidRPr="0048583A" w:rsidRDefault="00FC30B5" w:rsidP="00E13F8C">
            <w:pPr>
              <w:ind w:left="34"/>
              <w:jc w:val="center"/>
              <w:rPr>
                <w:rStyle w:val="2105pt"/>
                <w:rFonts w:eastAsia="Calibri"/>
              </w:rPr>
            </w:pP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5FCA4" w14:textId="265D3B72" w:rsidR="00FC30B5" w:rsidRDefault="00F864F1" w:rsidP="00E13F8C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85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C30B5" w14:paraId="758A1989" w14:textId="77777777" w:rsidTr="00F864F1">
        <w:trPr>
          <w:trHeight w:val="80"/>
        </w:trPr>
        <w:tc>
          <w:tcPr>
            <w:tcW w:w="469" w:type="dxa"/>
          </w:tcPr>
          <w:p w14:paraId="2256790B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6A6E59DC" w14:textId="77777777" w:rsidR="00FC30B5" w:rsidRDefault="00FC30B5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267A35F9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55E42" w14:textId="28C6FC91" w:rsidR="00FC30B5" w:rsidRPr="00E13F8C" w:rsidRDefault="00F864F1" w:rsidP="00F864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  <w:vertAlign w:val="superscript"/>
              </w:rPr>
            </w:pPr>
            <w:r w:rsidRPr="00F864F1">
              <w:rPr>
                <w:rStyle w:val="2105pt"/>
                <w:rFonts w:eastAsia="Calibri"/>
              </w:rPr>
              <w:t>2.1.2. Осуществление сетевой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организацией мероприятий по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проверке выполнения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заявителем технических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условий, которые включают: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проверку соответствия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технических решений,</w:t>
            </w:r>
            <w:r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параметров оборудования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(устройств) и проведенных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мероприятий, указанных в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документах, представленных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заявителем к уведомлению,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требованиям технических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условий;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осмотр (обследование)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7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электроустановок заявителей</w:t>
            </w:r>
            <w:r w:rsidR="00E13F8C">
              <w:rPr>
                <w:rStyle w:val="2105pt"/>
                <w:rFonts w:eastAsia="Calibri"/>
                <w:vertAlign w:val="superscript"/>
              </w:rP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DEAC8" w14:textId="77777777" w:rsidR="00FC30B5" w:rsidRDefault="00FC30B5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4EE92" w14:textId="1840D225" w:rsidR="00FC30B5" w:rsidRPr="0048583A" w:rsidRDefault="00F864F1" w:rsidP="00F864F1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F864F1">
              <w:rPr>
                <w:rStyle w:val="2105pt"/>
                <w:rFonts w:eastAsia="Calibri"/>
              </w:rPr>
              <w:t>Не позднее 10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дней со дня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получения от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уведомления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вне зависимости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от факта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выполнения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технических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условий со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стороны сетевой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организации.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130CD" w14:textId="682027A8" w:rsidR="00FC30B5" w:rsidRDefault="00F864F1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82-90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3B00C0F7" w14:textId="77777777" w:rsidR="00E13F8C" w:rsidRDefault="00E13F8C" w:rsidP="00E13F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704086" w14:textId="60C0608E" w:rsidR="00E13F8C" w:rsidRPr="00E13F8C" w:rsidRDefault="00E13F8C" w:rsidP="00E13F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F8C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7 </w:t>
      </w:r>
      <w:r w:rsidRPr="00E13F8C">
        <w:rPr>
          <w:rFonts w:ascii="Times New Roman" w:hAnsi="Times New Roman" w:cs="Times New Roman"/>
          <w:sz w:val="20"/>
          <w:szCs w:val="20"/>
        </w:rPr>
        <w:t>Правила технологического функционирования электроэнергетических систем, утвержденные постановлением Правительства Российской Федерации от 13 августа</w:t>
      </w:r>
    </w:p>
    <w:p w14:paraId="6F684F7C" w14:textId="77777777" w:rsidR="00E13F8C" w:rsidRPr="00E13F8C" w:rsidRDefault="00E13F8C" w:rsidP="00E13F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F8C">
        <w:rPr>
          <w:rFonts w:ascii="Times New Roman" w:hAnsi="Times New Roman" w:cs="Times New Roman"/>
          <w:sz w:val="20"/>
          <w:szCs w:val="20"/>
        </w:rPr>
        <w:t>2018 г. N 937 "Об утверждении Правил технологического функционирования электроэнергетических систем и о внесении изменений в некоторые акты Правительства</w:t>
      </w:r>
    </w:p>
    <w:p w14:paraId="5E40CB6F" w14:textId="0FBE3D17" w:rsidR="00E13F8C" w:rsidRPr="00E13F8C" w:rsidRDefault="00E13F8C" w:rsidP="00E13F8C">
      <w:pPr>
        <w:rPr>
          <w:rFonts w:ascii="Times New Roman" w:hAnsi="Times New Roman" w:cs="Times New Roman"/>
        </w:rPr>
      </w:pPr>
      <w:r w:rsidRPr="00E13F8C">
        <w:rPr>
          <w:rFonts w:ascii="Times New Roman" w:hAnsi="Times New Roman" w:cs="Times New Roman"/>
        </w:rPr>
        <w:t>Российской Федерации"</w:t>
      </w:r>
    </w:p>
    <w:tbl>
      <w:tblPr>
        <w:tblStyle w:val="a5"/>
        <w:tblW w:w="15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1"/>
        <w:gridCol w:w="2096"/>
        <w:gridCol w:w="2791"/>
        <w:gridCol w:w="3067"/>
        <w:gridCol w:w="1736"/>
        <w:gridCol w:w="3478"/>
      </w:tblGrid>
      <w:tr w:rsidR="00F864F1" w14:paraId="561DA7E4" w14:textId="77777777" w:rsidTr="00F864F1">
        <w:trPr>
          <w:trHeight w:val="80"/>
        </w:trPr>
        <w:tc>
          <w:tcPr>
            <w:tcW w:w="469" w:type="dxa"/>
          </w:tcPr>
          <w:p w14:paraId="2BDFA54B" w14:textId="77777777" w:rsid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3DD502FE" w14:textId="77777777" w:rsid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2FE08E76" w14:textId="34567311" w:rsidR="00F864F1" w:rsidRDefault="00F864F1" w:rsidP="00F864F1">
            <w:pPr>
              <w:jc w:val="both"/>
              <w:rPr>
                <w:rStyle w:val="2105pt"/>
                <w:rFonts w:eastAsia="Calibri"/>
              </w:rPr>
            </w:pPr>
            <w:r w:rsidRPr="00F864F1">
              <w:rPr>
                <w:rStyle w:val="2105pt"/>
                <w:rFonts w:eastAsia="Calibri"/>
              </w:rPr>
              <w:t>Невыполнение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заявителем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требований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технических условий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и проектной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документации по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результатам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проверки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выполнения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заявителем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технических условий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0395" w14:textId="7893E1F7" w:rsidR="00F864F1" w:rsidRPr="00F864F1" w:rsidRDefault="00F864F1" w:rsidP="00F864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F864F1">
              <w:rPr>
                <w:rStyle w:val="2105pt"/>
                <w:rFonts w:eastAsia="Calibri"/>
              </w:rPr>
              <w:t>2.2. Заявителю выдается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перечень замечаний,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выявленных в ходе проверки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и подлежащих выполнению</w:t>
            </w:r>
            <w:r w:rsidR="00D72860">
              <w:rPr>
                <w:rStyle w:val="2105pt"/>
                <w:rFonts w:eastAsia="Calibri"/>
              </w:rPr>
              <w:t xml:space="preserve"> </w:t>
            </w:r>
            <w:r w:rsidRPr="00F864F1">
              <w:rPr>
                <w:rStyle w:val="2105pt"/>
                <w:rFonts w:eastAsia="Calibri"/>
              </w:rPr>
              <w:t>заявителем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4463E" w14:textId="77777777" w:rsidR="00F864F1" w:rsidRDefault="00F864F1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78D92" w14:textId="77777777" w:rsidR="00F864F1" w:rsidRPr="00F864F1" w:rsidRDefault="00F864F1" w:rsidP="00F864F1">
            <w:pPr>
              <w:ind w:left="34"/>
              <w:jc w:val="center"/>
              <w:rPr>
                <w:rStyle w:val="2105pt"/>
                <w:rFonts w:eastAsia="Calibri"/>
              </w:rPr>
            </w:pP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ED3BB" w14:textId="2D5404C7" w:rsidR="00F864F1" w:rsidRDefault="00D72860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89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864F1" w14:paraId="307F2B81" w14:textId="77777777" w:rsidTr="00F864F1">
        <w:trPr>
          <w:trHeight w:val="80"/>
        </w:trPr>
        <w:tc>
          <w:tcPr>
            <w:tcW w:w="469" w:type="dxa"/>
          </w:tcPr>
          <w:p w14:paraId="658E5996" w14:textId="77777777" w:rsid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210FBD7D" w14:textId="77777777" w:rsid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73E530C2" w14:textId="71629FC4" w:rsidR="00F864F1" w:rsidRDefault="00D72860" w:rsidP="00D72860">
            <w:pP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Уведомление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заявителем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организации об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устранении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замечаний с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приложением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информации 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принятых мерах по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их устранению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C8633" w14:textId="65CFD209" w:rsidR="00F864F1" w:rsidRPr="00F864F1" w:rsidRDefault="00D72860" w:rsidP="00D728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2.3. Повторный осмотр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электроустановки заявителя,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выдача заявителю акта 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выполнении технических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условий после устранения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всех замечаний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538F4" w14:textId="5A5AD8B7" w:rsidR="00F864F1" w:rsidRDefault="00D72860" w:rsidP="00D72860">
            <w:pP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Не позднее 3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рабочих дней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после получения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от заявителя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уведомления об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устранении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замечаний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6CE18" w14:textId="77777777" w:rsidR="00F864F1" w:rsidRPr="00F864F1" w:rsidRDefault="00F864F1" w:rsidP="00F864F1">
            <w:pPr>
              <w:ind w:left="34"/>
              <w:jc w:val="center"/>
              <w:rPr>
                <w:rStyle w:val="2105pt"/>
                <w:rFonts w:eastAsia="Calibri"/>
              </w:rPr>
            </w:pP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D4650" w14:textId="0386C512" w:rsidR="00F864F1" w:rsidRDefault="00D72860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89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864F1" w14:paraId="3A61DF89" w14:textId="77777777" w:rsidTr="00D72860">
        <w:trPr>
          <w:trHeight w:val="80"/>
        </w:trPr>
        <w:tc>
          <w:tcPr>
            <w:tcW w:w="469" w:type="dxa"/>
          </w:tcPr>
          <w:p w14:paraId="7A82B43C" w14:textId="77777777" w:rsid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03495C4F" w14:textId="77777777" w:rsidR="00F864F1" w:rsidRDefault="00F864F1" w:rsidP="00E13F8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066F594" w14:textId="592C8194" w:rsidR="00F864F1" w:rsidRDefault="00D72860" w:rsidP="00D72860">
            <w:pP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Выполнение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заявителем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технических условий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7EF0E" w14:textId="170627DB" w:rsidR="00D72860" w:rsidRPr="00D72860" w:rsidRDefault="00D72860" w:rsidP="00D7286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 w:bidi="ru-RU"/>
              </w:rPr>
            </w:pPr>
            <w:r w:rsidRPr="00D72860">
              <w:rPr>
                <w:rStyle w:val="2105pt"/>
                <w:rFonts w:eastAsia="Calibri"/>
              </w:rPr>
              <w:t>2.4. Комплекс технических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организационных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мероприятий,</w:t>
            </w:r>
            <w:r>
              <w:t xml:space="preserve"> </w:t>
            </w:r>
            <w:r w:rsidRPr="00D72860">
              <w:rPr>
                <w:rStyle w:val="2105pt"/>
                <w:rFonts w:eastAsia="Calibri"/>
              </w:rPr>
              <w:t>обеспечивающих физическое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соединение (контакт)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объектов электросетевого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хозяйства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организации, в которую была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подана заявка, и объектов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электроэнергетики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(энергопринимающих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устройств) заявителя без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осуществления фактической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подачи (приема) напряжения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и мощности на объекты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заявителя (фиксация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коммутационного аппарата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положении "отключено").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Фактический прием (подача)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напряжения и мощности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осуществляется путем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включения коммутационного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аппарата (фиксация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коммутационного аппарата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положении "включено")</w:t>
            </w:r>
            <w:r>
              <w:rPr>
                <w:rStyle w:val="2105pt"/>
                <w:rFonts w:eastAsia="Calibri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AD715" w14:textId="77777777" w:rsidR="00F864F1" w:rsidRDefault="00F864F1" w:rsidP="00E13F8C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A2928" w14:textId="6DE527D0" w:rsidR="00F864F1" w:rsidRPr="00F864F1" w:rsidRDefault="00D72860" w:rsidP="00D72860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В соответствии с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Условиями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типового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договора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9A5FE" w14:textId="1E922B6E" w:rsidR="00F864F1" w:rsidRDefault="00D72860" w:rsidP="00E13F8C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7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72860" w14:paraId="0D172B56" w14:textId="77777777" w:rsidTr="00D72860">
        <w:trPr>
          <w:trHeight w:val="80"/>
        </w:trPr>
        <w:tc>
          <w:tcPr>
            <w:tcW w:w="469" w:type="dxa"/>
          </w:tcPr>
          <w:p w14:paraId="57A7E697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F461CEC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1FD0836C" w14:textId="77777777" w:rsidR="00D72860" w:rsidRP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E791D" w14:textId="38674745" w:rsidR="00D72860" w:rsidRPr="00D72860" w:rsidRDefault="00D72860" w:rsidP="00D728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2.5. Размещение в личном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кабинете потребителя акта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допуска прибора учета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эксплуатацию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90DD2" w14:textId="28A72D52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42BA6" w14:textId="3A8E34B8" w:rsidR="00D72860" w:rsidRPr="00D72860" w:rsidRDefault="00D72860" w:rsidP="00D72860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рабочего дня,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осуществления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допуска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эксплуатацию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прибора учета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B4A88" w14:textId="26A2ED5F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72860" w14:paraId="2FF502A9" w14:textId="77777777" w:rsidTr="00D72860">
        <w:trPr>
          <w:trHeight w:val="80"/>
        </w:trPr>
        <w:tc>
          <w:tcPr>
            <w:tcW w:w="469" w:type="dxa"/>
          </w:tcPr>
          <w:p w14:paraId="2570BFF6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7181139C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7FDA404E" w14:textId="77777777" w:rsidR="00D72860" w:rsidRP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1DB41" w14:textId="22FD00B8" w:rsidR="00D72860" w:rsidRPr="00D72860" w:rsidRDefault="00D72860" w:rsidP="00D728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2.6. Составление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размещение в личном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кабинете потребителя акта 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выполнении технических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условий и акта об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присоединения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5549B" w14:textId="77777777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BB239" w14:textId="77777777" w:rsidR="00D72860" w:rsidRPr="00D72860" w:rsidRDefault="00D72860" w:rsidP="00D72860">
            <w:pPr>
              <w:ind w:left="34"/>
              <w:jc w:val="center"/>
              <w:rPr>
                <w:rStyle w:val="2105pt"/>
                <w:rFonts w:eastAsia="Calibri"/>
              </w:rPr>
            </w:pP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10E79" w14:textId="446BF409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72860" w14:paraId="43032AC2" w14:textId="77777777" w:rsidTr="00D72860">
        <w:trPr>
          <w:trHeight w:val="80"/>
        </w:trPr>
        <w:tc>
          <w:tcPr>
            <w:tcW w:w="469" w:type="dxa"/>
          </w:tcPr>
          <w:p w14:paraId="31629215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2D8AF95C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478D0E12" w14:textId="77777777" w:rsidR="00D72860" w:rsidRP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1A59B" w14:textId="6F9F7B30" w:rsidR="00D72860" w:rsidRPr="00D72860" w:rsidRDefault="00D72860" w:rsidP="00D728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2.7. Уведомление заявителя 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составлении и направлении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Личный кабинет актов 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выполнении технических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условий и об 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присоединения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ACF5A" w14:textId="77777777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17155" w14:textId="4FED4E44" w:rsidR="00D72860" w:rsidRPr="00D72860" w:rsidRDefault="00D72860" w:rsidP="00D72860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рабочего дня,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течение которого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были составлены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и размещены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указанные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документы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5A837" w14:textId="77777777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</w:tr>
      <w:tr w:rsidR="00D72860" w14:paraId="1E8C95EA" w14:textId="77777777" w:rsidTr="00E13F8C">
        <w:trPr>
          <w:trHeight w:val="80"/>
        </w:trPr>
        <w:tc>
          <w:tcPr>
            <w:tcW w:w="469" w:type="dxa"/>
          </w:tcPr>
          <w:p w14:paraId="5465B210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C6CEFA5" w14:textId="77777777" w:rsidR="00D72860" w:rsidRDefault="00D72860" w:rsidP="00D728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5A3272FE" w14:textId="77777777" w:rsidR="00D72860" w:rsidRP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2633F" w14:textId="6A37D936" w:rsidR="00D72860" w:rsidRPr="00D72860" w:rsidRDefault="00D72860" w:rsidP="00D728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2.8. Уведомление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гарантирующего поставщика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 составлении и направлении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в Личный кабинет Заявителя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актов об 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присоединения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65416" w14:textId="77777777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48E8F" w14:textId="561F7D88" w:rsidR="00D72860" w:rsidRPr="00D72860" w:rsidRDefault="00D72860" w:rsidP="00D72860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D72860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рабочего дня,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течение которого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был составлен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D72860">
              <w:rPr>
                <w:rStyle w:val="2105pt"/>
                <w:rFonts w:eastAsia="Calibri"/>
              </w:rPr>
              <w:t>размещен акт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DD120" w14:textId="19F3E158" w:rsidR="00D72860" w:rsidRDefault="00D72860" w:rsidP="00D72860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111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637EF861" w14:textId="281DACF9" w:rsidR="00FD5BEE" w:rsidRDefault="00FD5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</w:p>
    <w:sectPr w:rsidR="00FD5BEE" w:rsidSect="001D69CE">
      <w:footerReference w:type="default" r:id="rId8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1B433" w14:textId="77777777" w:rsidR="00206407" w:rsidRDefault="00206407">
      <w:pPr>
        <w:spacing w:after="0" w:line="240" w:lineRule="auto"/>
      </w:pPr>
      <w:r>
        <w:separator/>
      </w:r>
    </w:p>
  </w:endnote>
  <w:endnote w:type="continuationSeparator" w:id="0">
    <w:p w14:paraId="7A7F77EF" w14:textId="77777777" w:rsidR="00206407" w:rsidRDefault="0020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504B9" w14:textId="77777777" w:rsidR="00206407" w:rsidRDefault="00206407">
      <w:pPr>
        <w:spacing w:after="0" w:line="240" w:lineRule="auto"/>
      </w:pPr>
      <w:r>
        <w:separator/>
      </w:r>
    </w:p>
  </w:footnote>
  <w:footnote w:type="continuationSeparator" w:id="0">
    <w:p w14:paraId="1ABD42D8" w14:textId="77777777" w:rsidR="00206407" w:rsidRDefault="00206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62912"/>
    <w:rsid w:val="0018389A"/>
    <w:rsid w:val="001D69CE"/>
    <w:rsid w:val="00206407"/>
    <w:rsid w:val="002231B8"/>
    <w:rsid w:val="00305BAB"/>
    <w:rsid w:val="00380C02"/>
    <w:rsid w:val="004674E8"/>
    <w:rsid w:val="0048583A"/>
    <w:rsid w:val="005E3132"/>
    <w:rsid w:val="00626A06"/>
    <w:rsid w:val="006E650F"/>
    <w:rsid w:val="007C3692"/>
    <w:rsid w:val="007E0F8A"/>
    <w:rsid w:val="00875A4F"/>
    <w:rsid w:val="0094375D"/>
    <w:rsid w:val="009B2AE2"/>
    <w:rsid w:val="00A26584"/>
    <w:rsid w:val="00AB262E"/>
    <w:rsid w:val="00AB378E"/>
    <w:rsid w:val="00BB40A1"/>
    <w:rsid w:val="00D72860"/>
    <w:rsid w:val="00E13F8C"/>
    <w:rsid w:val="00E864F8"/>
    <w:rsid w:val="00E876CC"/>
    <w:rsid w:val="00EE690E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2</cp:revision>
  <dcterms:created xsi:type="dcterms:W3CDTF">2021-04-01T16:51:00Z</dcterms:created>
  <dcterms:modified xsi:type="dcterms:W3CDTF">2021-04-01T16:51:00Z</dcterms:modified>
</cp:coreProperties>
</file>