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6701B5" w14:textId="22D6B80A" w:rsidR="00BB40A1" w:rsidRPr="00FD5BEE" w:rsidRDefault="000B5683" w:rsidP="00FD5BEE">
      <w:pPr>
        <w:pStyle w:val="1"/>
        <w:rPr>
          <w:bCs w:val="0"/>
        </w:rPr>
      </w:pPr>
      <w:r w:rsidRPr="00FD5BEE">
        <w:rPr>
          <w:bCs w:val="0"/>
        </w:rPr>
        <w:t>2.7 ВРЕМЕННОЕ ТЕХНОЛОГИЧЕСКОЕ ПРИСОЕДИНЕНИЕ К ЭЛЕКТРИЧЕСКИМ СЕТЯМ СЕТЕВОЙ ОРГАНИЗАЦИИ</w:t>
      </w:r>
    </w:p>
    <w:p w14:paraId="38B93D58" w14:textId="77777777" w:rsidR="00BB40A1" w:rsidRDefault="00BB40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732279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физическое лицо, индивидуальный предприниматель или юридическое лицо в целях временного технологического присоединения энергопринимающих устройств по третьей категории надежности электроснабжения на уровне напряжения ниже 35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наступления срока технологического присоединения по постоянной схеме, либо когда энергопринимающие устройства являются передвижными и имеют максимальную мощность до 150 кВт включительно на срок до 12 месяцев.</w:t>
      </w:r>
    </w:p>
    <w:p w14:paraId="1CFE5D11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ПЛАТЫ ЗА ПРЕДОСТАВЛЕНИЕ УСЛУГИ (ПРОЦЕССА) И ОСНОВАНИЕ ЕЕ ВЗИМАНИЯ: </w:t>
      </w:r>
      <w:r>
        <w:rPr>
          <w:rFonts w:ascii="Times New Roman" w:eastAsia="Times New Roman" w:hAnsi="Times New Roman" w:cs="Times New Roman"/>
          <w:sz w:val="24"/>
          <w:szCs w:val="24"/>
        </w:rPr>
        <w:t>Размер платы за технологическое присоединение энергопринимающих устройств рассчитывается по единой стандартизированной тарифной ставке С1, установленной уполномоченным органом исполнительной власти в области государственного регулирования тарифов субъекта РФ.</w:t>
      </w:r>
    </w:p>
    <w:p w14:paraId="6545183C" w14:textId="77777777" w:rsidR="00BB40A1" w:rsidRDefault="000B568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ОКАЗАНИЯ УСЛУГИ (ПРОЦЕССА)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временного технологического присоединения необходимо одновременное соблюдение следующих условий:</w:t>
      </w:r>
    </w:p>
    <w:p w14:paraId="26BFA571" w14:textId="77777777" w:rsidR="00BB40A1" w:rsidRDefault="000B568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наличие у заявителя заключенного с сетевой организацией договора (за исключением случаев, когда энергопринимающие устройства являются передвижными и имеют максимальную мощность до 150 кВт включительно);</w:t>
      </w:r>
    </w:p>
    <w:p w14:paraId="213AAC41" w14:textId="77777777" w:rsidR="00BB40A1" w:rsidRDefault="000B568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электроснабжения.</w:t>
      </w:r>
    </w:p>
    <w:p w14:paraId="62EF0909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 ОКАЗАНИЯ УСЛУГИ (ПРОЦЕССА):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технологического присоединения энергопринимающих устройств Заявителя.</w:t>
      </w:r>
    </w:p>
    <w:p w14:paraId="073A8CCB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ОБЩИЙ СРОК ОКАЗАНИЯ УСЛУГИ (ПРОЦЕССА):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случаях осуществления технологического присоединения к электрическим сетям классом напряжения до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включительно, при этом расстояние от существующих электрических сетей необходимого класса напряжения до границ участка, на котором расположены присоединяемые энергопринимающие устройства, составляет не более 300 метров в городах и поселках городского типа и не более 500 метров в сельской местности:</w:t>
      </w:r>
    </w:p>
    <w:p w14:paraId="6C37F826" w14:textId="77777777" w:rsidR="00BB40A1" w:rsidRDefault="000B568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от сетевой организации не требуется выполнение работ по строительству (реконструкции) объектов электросетевого хозяйства, включенных (подлежащих включению) в инвестиционные программы сетевых организаций (в том числе смежных сетевых организаций), и (или) объектов по производству электрической энергии,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(или) объектов электроэнергетики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15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(если в заявке не указан более продолжительный срок) с даты заключения договора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 временном технологическом присоединении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37B0AF" w14:textId="77777777" w:rsidR="00BB40A1" w:rsidRDefault="000B568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 рабочих дней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(если в заявке не указан более продолжительный срок) - при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временном технологическом присоединении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заявителей, энергопринимающие устройства которых являются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передвижными и имеют максимальную мощность до 150 кВт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включительно,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метров;</w:t>
      </w:r>
    </w:p>
    <w:p w14:paraId="0581EC30" w14:textId="77777777" w:rsidR="00BB40A1" w:rsidRDefault="000B568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несоблюдении всех вышеуказанных условий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даты заключения договора.</w:t>
      </w:r>
    </w:p>
    <w:p w14:paraId="644EB345" w14:textId="77777777" w:rsidR="00BB40A1" w:rsidRDefault="000B5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СОСТАВ, ПОСЛЕДОВАТЕЛЬНОСТЬ И СРОКИ ОКАЗАНИЯ УСЛУГИ (ПРОЦЕССА):</w:t>
      </w:r>
    </w:p>
    <w:p w14:paraId="3A4042FF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b"/>
        <w:tblW w:w="155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2182"/>
        <w:gridCol w:w="2235"/>
        <w:gridCol w:w="2883"/>
        <w:gridCol w:w="2268"/>
        <w:gridCol w:w="2410"/>
        <w:gridCol w:w="3118"/>
      </w:tblGrid>
      <w:tr w:rsidR="00BB40A1" w14:paraId="7C30758F" w14:textId="77777777">
        <w:tc>
          <w:tcPr>
            <w:tcW w:w="470" w:type="dxa"/>
          </w:tcPr>
          <w:p w14:paraId="4E56FDD0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82" w:type="dxa"/>
          </w:tcPr>
          <w:p w14:paraId="7A53F1D8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Этап</w:t>
            </w:r>
          </w:p>
        </w:tc>
        <w:tc>
          <w:tcPr>
            <w:tcW w:w="2235" w:type="dxa"/>
          </w:tcPr>
          <w:p w14:paraId="0171F125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Условие этапа</w:t>
            </w:r>
          </w:p>
        </w:tc>
        <w:tc>
          <w:tcPr>
            <w:tcW w:w="2883" w:type="dxa"/>
          </w:tcPr>
          <w:p w14:paraId="0B3CCDB8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  <w:tc>
          <w:tcPr>
            <w:tcW w:w="2268" w:type="dxa"/>
          </w:tcPr>
          <w:p w14:paraId="36ACC4F1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Форма предоставления</w:t>
            </w:r>
          </w:p>
        </w:tc>
        <w:tc>
          <w:tcPr>
            <w:tcW w:w="2410" w:type="dxa"/>
          </w:tcPr>
          <w:p w14:paraId="1D0C2044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 исполнения</w:t>
            </w:r>
          </w:p>
        </w:tc>
        <w:tc>
          <w:tcPr>
            <w:tcW w:w="3118" w:type="dxa"/>
          </w:tcPr>
          <w:p w14:paraId="753E903D" w14:textId="77777777" w:rsidR="00BB40A1" w:rsidRDefault="000B568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нормативно правовой акт</w:t>
            </w:r>
          </w:p>
        </w:tc>
      </w:tr>
      <w:tr w:rsidR="00BB40A1" w14:paraId="136AF65A" w14:textId="77777777">
        <w:tc>
          <w:tcPr>
            <w:tcW w:w="470" w:type="dxa"/>
            <w:vMerge w:val="restart"/>
          </w:tcPr>
          <w:p w14:paraId="6A1AE376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82" w:type="dxa"/>
          </w:tcPr>
          <w:p w14:paraId="2495111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Подача заявки на технологическое присоединение</w:t>
            </w:r>
          </w:p>
        </w:tc>
        <w:tc>
          <w:tcPr>
            <w:tcW w:w="2235" w:type="dxa"/>
          </w:tcPr>
          <w:p w14:paraId="05BD766D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5074E99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Заявитель подает заявку на технологическое присоединение</w:t>
            </w:r>
          </w:p>
          <w:p w14:paraId="3033512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3BBE1213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Очное обращение заявителя с заявкой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офис обслуживания потребителей,</w:t>
            </w:r>
          </w:p>
          <w:p w14:paraId="05C83DDF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обращение с заявкой заказным письмом с уведомлением,</w:t>
            </w:r>
          </w:p>
          <w:p w14:paraId="6DFA34C1" w14:textId="7B230326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заявка по электронной форме на сайте ООО «</w:t>
            </w:r>
            <w:r w:rsidR="00305BAB">
              <w:rPr>
                <w:rFonts w:ascii="Times New Roman" w:eastAsia="Times New Roman" w:hAnsi="Times New Roman" w:cs="Times New Roman"/>
                <w:lang w:val="ru-RU"/>
              </w:rPr>
              <w:t>АЭСК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14:paraId="32C6B86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 ограничен</w:t>
            </w:r>
          </w:p>
        </w:tc>
        <w:tc>
          <w:tcPr>
            <w:tcW w:w="3118" w:type="dxa"/>
          </w:tcPr>
          <w:p w14:paraId="0C9D8E5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 (а), 8, 9, 10, 14 Правил технологического присо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единения энергопринимающих устройств потребителей электрической энергии</w:t>
            </w:r>
          </w:p>
        </w:tc>
      </w:tr>
      <w:tr w:rsidR="00BB40A1" w14:paraId="10E4ADB9" w14:textId="77777777">
        <w:trPr>
          <w:trHeight w:val="80"/>
        </w:trPr>
        <w:tc>
          <w:tcPr>
            <w:tcW w:w="470" w:type="dxa"/>
            <w:vMerge/>
          </w:tcPr>
          <w:p w14:paraId="0979A48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1AA8991F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06ECD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11B8BEE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 отсутствии сведений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документов,  установленных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2883" w:type="dxa"/>
          </w:tcPr>
          <w:p w14:paraId="777FC89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 Сетевая организация направляет уведомление заявителю о недостающих сведениях и/или документах к заявке</w:t>
            </w:r>
          </w:p>
        </w:tc>
        <w:tc>
          <w:tcPr>
            <w:tcW w:w="2268" w:type="dxa"/>
          </w:tcPr>
          <w:p w14:paraId="7C3EC5DB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0F395893" w14:textId="77777777" w:rsidR="00BB40A1" w:rsidRDefault="000B5683">
            <w:pPr>
              <w:ind w:left="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рабочих дней после получения заявки</w:t>
            </w:r>
          </w:p>
        </w:tc>
        <w:tc>
          <w:tcPr>
            <w:tcW w:w="3118" w:type="dxa"/>
          </w:tcPr>
          <w:p w14:paraId="2607B62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E02888C" w14:textId="77777777">
        <w:trPr>
          <w:trHeight w:val="80"/>
        </w:trPr>
        <w:tc>
          <w:tcPr>
            <w:tcW w:w="470" w:type="dxa"/>
            <w:vMerge w:val="restart"/>
          </w:tcPr>
          <w:p w14:paraId="2FE94FB9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82" w:type="dxa"/>
            <w:vMerge w:val="restart"/>
          </w:tcPr>
          <w:p w14:paraId="24A44AE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2235" w:type="dxa"/>
          </w:tcPr>
          <w:p w14:paraId="4DDAE3A0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615B4B3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2.1. Направление (выдача при очном посещении офиса обслуживания) сетевой организацией проекта договора об 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</w:t>
            </w:r>
          </w:p>
        </w:tc>
        <w:tc>
          <w:tcPr>
            <w:tcW w:w="2268" w:type="dxa"/>
          </w:tcPr>
          <w:p w14:paraId="06605705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Письменная форма проекта договора,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38F7017B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15 дней со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дня  получения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заявки; </w:t>
            </w:r>
          </w:p>
          <w:p w14:paraId="77009B08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случае  отсутствия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сведений  (документов) 15 дней с даты  получения недостающих сведений</w:t>
            </w:r>
          </w:p>
        </w:tc>
        <w:tc>
          <w:tcPr>
            <w:tcW w:w="3118" w:type="dxa"/>
          </w:tcPr>
          <w:p w14:paraId="6D48697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6C1BD595" w14:textId="77777777">
        <w:trPr>
          <w:trHeight w:val="80"/>
        </w:trPr>
        <w:tc>
          <w:tcPr>
            <w:tcW w:w="470" w:type="dxa"/>
            <w:vMerge/>
          </w:tcPr>
          <w:p w14:paraId="123D0AA6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4ACE4717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668A0D74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32FBA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ECE759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0274053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2.2. Подписание заявителем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двух  экземпляров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проекта договора и направление   (представляет в офис обслуживания потребителей) одного  экземпляра сетевой организации с приложением к нему документов, подтверждающих полномочия лица, подписавшего такой договор</w:t>
            </w:r>
          </w:p>
        </w:tc>
        <w:tc>
          <w:tcPr>
            <w:tcW w:w="2268" w:type="dxa"/>
          </w:tcPr>
          <w:p w14:paraId="37F8FE8D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64A2C75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 рабочих дней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  дня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получения заявителем проекта договора.</w:t>
            </w:r>
          </w:p>
          <w:p w14:paraId="46986F0D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ненаправления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подписанного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проекта договора  либо мотивированного отказа от его подписания через 30 дней  –  заявка аннулируется.</w:t>
            </w:r>
          </w:p>
        </w:tc>
        <w:tc>
          <w:tcPr>
            <w:tcW w:w="3118" w:type="dxa"/>
          </w:tcPr>
          <w:p w14:paraId="60E92ACD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2ABD8E0C" w14:textId="77777777">
        <w:trPr>
          <w:trHeight w:val="80"/>
        </w:trPr>
        <w:tc>
          <w:tcPr>
            <w:tcW w:w="470" w:type="dxa"/>
            <w:vMerge/>
          </w:tcPr>
          <w:p w14:paraId="02DDB08A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0DCA57E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269B147C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6DA22E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F37CFA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560E5A7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 Направление (выдача при очном посещении офиса обслуживания) сете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вой организацией откорректированного проекта договора об осуществлении технологического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присоединения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техническими условиями вследствие получения от заявителя мотивированного отказа от подписания проекта договора</w:t>
            </w:r>
          </w:p>
        </w:tc>
        <w:tc>
          <w:tcPr>
            <w:tcW w:w="2268" w:type="dxa"/>
          </w:tcPr>
          <w:p w14:paraId="7FB234D0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Письменная форма проекта договора, подписанного со сто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2410" w:type="dxa"/>
          </w:tcPr>
          <w:p w14:paraId="72A113BC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10 рабочих дней с даты получения от заявителя мотивированного требования 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приведении проекта договора в соответствие с Правилами ТП</w:t>
            </w:r>
          </w:p>
        </w:tc>
        <w:tc>
          <w:tcPr>
            <w:tcW w:w="3118" w:type="dxa"/>
          </w:tcPr>
          <w:p w14:paraId="287EFD0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Пункт 15 Правил технологического присоединения энерго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принимающих устройств потребителей электрической энергии</w:t>
            </w:r>
          </w:p>
        </w:tc>
      </w:tr>
      <w:tr w:rsidR="00BB40A1" w14:paraId="51CAB599" w14:textId="77777777">
        <w:trPr>
          <w:trHeight w:val="80"/>
        </w:trPr>
        <w:tc>
          <w:tcPr>
            <w:tcW w:w="470" w:type="dxa"/>
            <w:vMerge/>
          </w:tcPr>
          <w:p w14:paraId="44FF250C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0B3D0A2A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3FBBA7B4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1D71F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DA90451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2817622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 Сетевая организация направляет в адрес субъекта розничного рынка, указанного в заявке, с которым заявитель намеревается заключить договор энергоснабжения (купли-продажи (поставки) электрической энергии (мощности)) копию подписанного с заявителем договора и копии представленных документов заявителем.</w:t>
            </w:r>
          </w:p>
        </w:tc>
        <w:tc>
          <w:tcPr>
            <w:tcW w:w="2268" w:type="dxa"/>
          </w:tcPr>
          <w:p w14:paraId="241C698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или электронной форме</w:t>
            </w:r>
          </w:p>
          <w:p w14:paraId="71082159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FF448F8" w14:textId="77777777" w:rsidR="00BB40A1" w:rsidRDefault="000B5683">
            <w:pPr>
              <w:ind w:left="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2 рабочих дней с даты заключения договора</w:t>
            </w:r>
          </w:p>
        </w:tc>
        <w:tc>
          <w:tcPr>
            <w:tcW w:w="3118" w:type="dxa"/>
          </w:tcPr>
          <w:p w14:paraId="39A032D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5BEC2C1D" w14:textId="77777777">
        <w:trPr>
          <w:trHeight w:val="680"/>
        </w:trPr>
        <w:tc>
          <w:tcPr>
            <w:tcW w:w="470" w:type="dxa"/>
            <w:vMerge w:val="restart"/>
          </w:tcPr>
          <w:p w14:paraId="68A58C77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82" w:type="dxa"/>
            <w:vMerge w:val="restart"/>
          </w:tcPr>
          <w:p w14:paraId="320AA1E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Выполнение сторонами мероприятий по технологическому присоединению, предусмотренных договором</w:t>
            </w:r>
          </w:p>
        </w:tc>
        <w:tc>
          <w:tcPr>
            <w:tcW w:w="2235" w:type="dxa"/>
          </w:tcPr>
          <w:p w14:paraId="5CF2BBC4" w14:textId="77777777" w:rsidR="00BB40A1" w:rsidRDefault="000B568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Заключенный договор об осуществлении технологического присоединения</w:t>
            </w:r>
          </w:p>
        </w:tc>
        <w:tc>
          <w:tcPr>
            <w:tcW w:w="2883" w:type="dxa"/>
          </w:tcPr>
          <w:p w14:paraId="671A30A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 Выполнение сетевой организацией мероприятий, предусмотренных договором</w:t>
            </w:r>
          </w:p>
        </w:tc>
        <w:tc>
          <w:tcPr>
            <w:tcW w:w="2268" w:type="dxa"/>
          </w:tcPr>
          <w:p w14:paraId="72C990CB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39C4ADF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 w:val="restart"/>
          </w:tcPr>
          <w:p w14:paraId="4951A322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15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0844240" w14:textId="77777777">
        <w:trPr>
          <w:trHeight w:val="680"/>
        </w:trPr>
        <w:tc>
          <w:tcPr>
            <w:tcW w:w="470" w:type="dxa"/>
            <w:vMerge/>
          </w:tcPr>
          <w:p w14:paraId="0E65296F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59F33315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61FB897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D57619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2044B8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39F9240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 Выполнение заявителем мероприятий, предусмотренных договором</w:t>
            </w:r>
          </w:p>
        </w:tc>
        <w:tc>
          <w:tcPr>
            <w:tcW w:w="2268" w:type="dxa"/>
          </w:tcPr>
          <w:p w14:paraId="25E9056E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7782065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  <w:vMerge/>
          </w:tcPr>
          <w:p w14:paraId="523AB024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B40A1" w14:paraId="6E6D7093" w14:textId="77777777">
        <w:trPr>
          <w:trHeight w:val="680"/>
        </w:trPr>
        <w:tc>
          <w:tcPr>
            <w:tcW w:w="470" w:type="dxa"/>
            <w:vMerge/>
          </w:tcPr>
          <w:p w14:paraId="5CEE5DA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3F8C9A2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10039282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1836C0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FF9666C" w14:textId="77777777" w:rsidR="00BB40A1" w:rsidRDefault="00BB40A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7DDB350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 Направление уведомления заявителем сетевой организации о выполнении технических условий с необходимым пакетом документов</w:t>
            </w:r>
          </w:p>
          <w:p w14:paraId="5D8ED1D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4B15263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Письменное уведомление о выполнении технических условий с пакетом необходимых документов</w:t>
            </w:r>
          </w:p>
        </w:tc>
        <w:tc>
          <w:tcPr>
            <w:tcW w:w="2410" w:type="dxa"/>
          </w:tcPr>
          <w:p w14:paraId="056797D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После выполнения технических условий</w:t>
            </w:r>
          </w:p>
        </w:tc>
        <w:tc>
          <w:tcPr>
            <w:tcW w:w="3118" w:type="dxa"/>
          </w:tcPr>
          <w:p w14:paraId="7238219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85, 86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21C4F7A4" w14:textId="77777777">
        <w:trPr>
          <w:trHeight w:val="680"/>
        </w:trPr>
        <w:tc>
          <w:tcPr>
            <w:tcW w:w="470" w:type="dxa"/>
            <w:vMerge w:val="restart"/>
          </w:tcPr>
          <w:p w14:paraId="7784A59E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82" w:type="dxa"/>
          </w:tcPr>
          <w:p w14:paraId="36D2A61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выполнения технических условий</w:t>
            </w:r>
          </w:p>
        </w:tc>
        <w:tc>
          <w:tcPr>
            <w:tcW w:w="2235" w:type="dxa"/>
          </w:tcPr>
          <w:p w14:paraId="4A3ABEC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Получение сетевой организацией от заявителя уведомления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 выполнении технических условий</w:t>
            </w:r>
          </w:p>
        </w:tc>
        <w:tc>
          <w:tcPr>
            <w:tcW w:w="2883" w:type="dxa"/>
          </w:tcPr>
          <w:p w14:paraId="4AB502B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4.1. Проверка соответствия технических решений, параметров оборудования (устройств) и проведенных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мероприятий требованиям технических условий. </w:t>
            </w:r>
          </w:p>
        </w:tc>
        <w:tc>
          <w:tcPr>
            <w:tcW w:w="2268" w:type="dxa"/>
          </w:tcPr>
          <w:p w14:paraId="1D3662C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При невыполнении требований технических условий сетевая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организация в письменной форме составляется перечень замечаний</w:t>
            </w:r>
          </w:p>
        </w:tc>
        <w:tc>
          <w:tcPr>
            <w:tcW w:w="2410" w:type="dxa"/>
          </w:tcPr>
          <w:p w14:paraId="4A78318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в течение 10 дней со дня получения от заявителя уведомления 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выполнении им технических условий либо об устранении замечаний</w:t>
            </w:r>
          </w:p>
        </w:tc>
        <w:tc>
          <w:tcPr>
            <w:tcW w:w="3118" w:type="dxa"/>
          </w:tcPr>
          <w:p w14:paraId="0010DB98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Пункты 90 Правил технологического присоединения энер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гопринимающих устройств потребителей электрической энергии</w:t>
            </w:r>
          </w:p>
        </w:tc>
      </w:tr>
      <w:tr w:rsidR="00BB40A1" w14:paraId="290CCF92" w14:textId="77777777">
        <w:trPr>
          <w:trHeight w:val="680"/>
        </w:trPr>
        <w:tc>
          <w:tcPr>
            <w:tcW w:w="470" w:type="dxa"/>
            <w:vMerge/>
          </w:tcPr>
          <w:p w14:paraId="1C5D0282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3735F19F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8323AD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60FC5F3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невыполнении заявителем требований технических условий. Получение от заявителя сетевой организации уведомления об устранении замечаний по выполнению технических условий</w:t>
            </w:r>
          </w:p>
        </w:tc>
        <w:tc>
          <w:tcPr>
            <w:tcW w:w="2883" w:type="dxa"/>
          </w:tcPr>
          <w:p w14:paraId="4CDCAF3F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 Повторный осмотр электроустановки заявителя</w:t>
            </w:r>
          </w:p>
        </w:tc>
        <w:tc>
          <w:tcPr>
            <w:tcW w:w="2268" w:type="dxa"/>
          </w:tcPr>
          <w:p w14:paraId="493BD29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Уведомление об устранении замечаний в письменной форме</w:t>
            </w:r>
          </w:p>
          <w:p w14:paraId="1709AD8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69525434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3 рабочих дней после получения от заявителя уведомления об устранении замечаний с приложением информации о принятых мерах по их устранению.</w:t>
            </w:r>
          </w:p>
        </w:tc>
        <w:tc>
          <w:tcPr>
            <w:tcW w:w="3118" w:type="dxa"/>
          </w:tcPr>
          <w:p w14:paraId="16753206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73DD392A" w14:textId="77777777">
        <w:trPr>
          <w:trHeight w:val="680"/>
        </w:trPr>
        <w:tc>
          <w:tcPr>
            <w:tcW w:w="470" w:type="dxa"/>
            <w:vMerge/>
          </w:tcPr>
          <w:p w14:paraId="6B83E123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3D60F865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C261E1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6D5E668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599005A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 Прием в эксплуатацию прибора учета.</w:t>
            </w:r>
          </w:p>
          <w:p w14:paraId="0535FC4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сторонами  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передача Акт допуска в эксплуатацию прибора учета.</w:t>
            </w:r>
          </w:p>
        </w:tc>
        <w:tc>
          <w:tcPr>
            <w:tcW w:w="2268" w:type="dxa"/>
          </w:tcPr>
          <w:p w14:paraId="031C58D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 допуска в эксплуатацию прибора учета в письменной форме</w:t>
            </w:r>
          </w:p>
        </w:tc>
        <w:tc>
          <w:tcPr>
            <w:tcW w:w="2410" w:type="dxa"/>
          </w:tcPr>
          <w:p w14:paraId="7188B4D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день проведения осмотра</w:t>
            </w:r>
          </w:p>
        </w:tc>
        <w:tc>
          <w:tcPr>
            <w:tcW w:w="3118" w:type="dxa"/>
          </w:tcPr>
          <w:p w14:paraId="248DED81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Х Основ функционирования розничных рынков электрической энергии</w:t>
            </w:r>
            <w:r>
              <w:rPr>
                <w:vertAlign w:val="superscript"/>
              </w:rPr>
              <w:footnoteReference w:id="1"/>
            </w:r>
          </w:p>
        </w:tc>
      </w:tr>
      <w:tr w:rsidR="00BB40A1" w14:paraId="5B6C7196" w14:textId="77777777">
        <w:trPr>
          <w:trHeight w:val="680"/>
        </w:trPr>
        <w:tc>
          <w:tcPr>
            <w:tcW w:w="470" w:type="dxa"/>
            <w:vMerge/>
          </w:tcPr>
          <w:p w14:paraId="08E6EF28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1E717E6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0B7AC8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6A720F1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выполнения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заявителем  требований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технических условий</w:t>
            </w:r>
          </w:p>
        </w:tc>
        <w:tc>
          <w:tcPr>
            <w:tcW w:w="2883" w:type="dxa"/>
          </w:tcPr>
          <w:p w14:paraId="34B8D2C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 Направление (выдача) заявителю Акта о выполнении технических условий в 2 экземплярах</w:t>
            </w:r>
          </w:p>
        </w:tc>
        <w:tc>
          <w:tcPr>
            <w:tcW w:w="2268" w:type="dxa"/>
          </w:tcPr>
          <w:p w14:paraId="317BC1D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73C9086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день проведения осмотра </w:t>
            </w:r>
          </w:p>
        </w:tc>
        <w:tc>
          <w:tcPr>
            <w:tcW w:w="3118" w:type="dxa"/>
          </w:tcPr>
          <w:p w14:paraId="02539449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C52D3E4" w14:textId="77777777">
        <w:trPr>
          <w:trHeight w:val="680"/>
        </w:trPr>
        <w:tc>
          <w:tcPr>
            <w:tcW w:w="470" w:type="dxa"/>
            <w:vMerge/>
          </w:tcPr>
          <w:p w14:paraId="6A4E62C1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5C2F8018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5520DD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57E97A8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330F225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4.4. Заявитель возвращает в сетевую организацию один экземпляр подписанного со своей стороны акта о выполнении технических условий</w:t>
            </w:r>
          </w:p>
          <w:p w14:paraId="66A5BA3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7EE518C1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Подписанный Акт о выполнении технических условий в письменной форме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направляется  способом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позволяющим подтвердить факт получения, или выдаются заявителю в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офисе обслуживания потребителей</w:t>
            </w:r>
          </w:p>
        </w:tc>
        <w:tc>
          <w:tcPr>
            <w:tcW w:w="2410" w:type="dxa"/>
          </w:tcPr>
          <w:p w14:paraId="35F3A95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В день проведения осмотра</w:t>
            </w:r>
          </w:p>
        </w:tc>
        <w:tc>
          <w:tcPr>
            <w:tcW w:w="3118" w:type="dxa"/>
          </w:tcPr>
          <w:p w14:paraId="5FB42095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88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A6317D4" w14:textId="77777777">
        <w:trPr>
          <w:trHeight w:val="680"/>
        </w:trPr>
        <w:tc>
          <w:tcPr>
            <w:tcW w:w="470" w:type="dxa"/>
            <w:vMerge w:val="restart"/>
          </w:tcPr>
          <w:p w14:paraId="30978A8D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82" w:type="dxa"/>
          </w:tcPr>
          <w:p w14:paraId="40AB09F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Присоединение объектов заявителя к электрическим сетям</w:t>
            </w:r>
          </w:p>
        </w:tc>
        <w:tc>
          <w:tcPr>
            <w:tcW w:w="2235" w:type="dxa"/>
          </w:tcPr>
          <w:p w14:paraId="7CA9C17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176FB452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5.1 Осуществление сетевой организацией фактического присоединения объектов заявителя к электрическим сетям и включение коммутационного аппарата (фиксация коммутационного аппарата в положении "включено").</w:t>
            </w:r>
          </w:p>
        </w:tc>
        <w:tc>
          <w:tcPr>
            <w:tcW w:w="2268" w:type="dxa"/>
          </w:tcPr>
          <w:p w14:paraId="3365695C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14:paraId="5487B168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74ADCB74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Пункты 7, 18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67795C7" w14:textId="77777777">
        <w:trPr>
          <w:trHeight w:val="260"/>
        </w:trPr>
        <w:tc>
          <w:tcPr>
            <w:tcW w:w="470" w:type="dxa"/>
            <w:vMerge/>
          </w:tcPr>
          <w:p w14:paraId="5695EF10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51012ADA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4D5D892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0AE217A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1EB3425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5.2. Оформление сетевой организации и направление (выдача) заявителю: </w:t>
            </w:r>
          </w:p>
          <w:p w14:paraId="5E05763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Акта об осуществлении технологического присоединения</w:t>
            </w:r>
          </w:p>
          <w:p w14:paraId="1295486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14:paraId="0406FC7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Подписанный со стороны сетевой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акт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письменной форме направляется способом, позволяющим подтвердить факт получения, или выдаются заявителю в офисе обслуживания потребителей</w:t>
            </w:r>
          </w:p>
        </w:tc>
        <w:tc>
          <w:tcPr>
            <w:tcW w:w="2410" w:type="dxa"/>
          </w:tcPr>
          <w:p w14:paraId="1B0F6C4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39B95827" w14:textId="77777777" w:rsidR="00BB40A1" w:rsidRDefault="000B5683">
            <w:pPr>
              <w:ind w:left="-16" w:hanging="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14A72B5D" w14:textId="77777777">
        <w:trPr>
          <w:trHeight w:val="680"/>
        </w:trPr>
        <w:tc>
          <w:tcPr>
            <w:tcW w:w="470" w:type="dxa"/>
            <w:vMerge/>
          </w:tcPr>
          <w:p w14:paraId="04B9C352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</w:tcPr>
          <w:p w14:paraId="6586D3F7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07E86E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1109C2B4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3E7F401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5.3. Направление сетевой организацией подписанных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  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 в энергосбытовую организацию </w:t>
            </w:r>
          </w:p>
        </w:tc>
        <w:tc>
          <w:tcPr>
            <w:tcW w:w="2268" w:type="dxa"/>
          </w:tcPr>
          <w:p w14:paraId="32CBA43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или электронной форме</w:t>
            </w:r>
          </w:p>
        </w:tc>
        <w:tc>
          <w:tcPr>
            <w:tcW w:w="2410" w:type="dxa"/>
          </w:tcPr>
          <w:p w14:paraId="4968988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2 рабочих дней после предоставления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подписанных  заявителем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актов в сетевую организацию</w:t>
            </w:r>
          </w:p>
        </w:tc>
        <w:tc>
          <w:tcPr>
            <w:tcW w:w="3118" w:type="dxa"/>
          </w:tcPr>
          <w:p w14:paraId="4CAFF06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19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3089B368" w14:textId="77777777">
        <w:trPr>
          <w:trHeight w:val="680"/>
        </w:trPr>
        <w:tc>
          <w:tcPr>
            <w:tcW w:w="470" w:type="dxa"/>
            <w:vMerge w:val="restart"/>
          </w:tcPr>
          <w:p w14:paraId="6C37573D" w14:textId="77777777" w:rsidR="00BB40A1" w:rsidRDefault="000B568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82" w:type="dxa"/>
            <w:vMerge w:val="restart"/>
          </w:tcPr>
          <w:p w14:paraId="221AB1C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Отсоединение объектов заявителя от электрических сетей</w:t>
            </w:r>
          </w:p>
        </w:tc>
        <w:tc>
          <w:tcPr>
            <w:tcW w:w="2235" w:type="dxa"/>
          </w:tcPr>
          <w:p w14:paraId="7523DC03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окончании срока, на который осуществлялось технологическое присоединение с применением временной схемы электроснабжения, или при наличии основания для его досрочного прекращения:</w:t>
            </w:r>
          </w:p>
          <w:p w14:paraId="7BBC576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по обращению заявителя, поданному не позднее 10 дней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до планируемой даты отсоединения;</w:t>
            </w:r>
          </w:p>
          <w:p w14:paraId="0372BFA7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б) при расторжении договора об осуществлении технологического присоединения с применением постоянной схемы электроснабжения.</w:t>
            </w:r>
          </w:p>
        </w:tc>
        <w:tc>
          <w:tcPr>
            <w:tcW w:w="2883" w:type="dxa"/>
          </w:tcPr>
          <w:p w14:paraId="642F0F0E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6.1. Сетевая организация, письменно уведомляет заявителя о дате и времени отсоединения энергопринимающих устройств заявителя от объектов электросетевого хозяйства сетевой организации</w:t>
            </w:r>
          </w:p>
        </w:tc>
        <w:tc>
          <w:tcPr>
            <w:tcW w:w="2268" w:type="dxa"/>
          </w:tcPr>
          <w:p w14:paraId="7C617E6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форме направляются способом, позволяющим подтвердить факт получения</w:t>
            </w:r>
          </w:p>
        </w:tc>
        <w:tc>
          <w:tcPr>
            <w:tcW w:w="2410" w:type="dxa"/>
          </w:tcPr>
          <w:p w14:paraId="433BFC7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позднее, чем за 10 рабочих дней до дня отсоединения</w:t>
            </w:r>
          </w:p>
        </w:tc>
        <w:tc>
          <w:tcPr>
            <w:tcW w:w="3118" w:type="dxa"/>
          </w:tcPr>
          <w:p w14:paraId="6F51CF4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55, 56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06D20A94" w14:textId="77777777">
        <w:trPr>
          <w:trHeight w:val="680"/>
        </w:trPr>
        <w:tc>
          <w:tcPr>
            <w:tcW w:w="470" w:type="dxa"/>
            <w:vMerge/>
          </w:tcPr>
          <w:p w14:paraId="2DB463B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7C632405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0269D645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4DD1AF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71FE65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5D392EAC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 Выполнение работ по отсоединению энергопринимающих устройств заявителя</w:t>
            </w:r>
          </w:p>
        </w:tc>
        <w:tc>
          <w:tcPr>
            <w:tcW w:w="2268" w:type="dxa"/>
          </w:tcPr>
          <w:p w14:paraId="75C06F59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включительно на срок </w:t>
            </w:r>
          </w:p>
        </w:tc>
        <w:tc>
          <w:tcPr>
            <w:tcW w:w="2410" w:type="dxa"/>
          </w:tcPr>
          <w:p w14:paraId="727C94A0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 12 месяцев (энергопринимающие устройства являются передвижными и имеют максимальную мощность до 150 кВт);</w:t>
            </w:r>
          </w:p>
          <w:p w14:paraId="305EC286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условиями договора</w:t>
            </w:r>
          </w:p>
        </w:tc>
        <w:tc>
          <w:tcPr>
            <w:tcW w:w="3118" w:type="dxa"/>
          </w:tcPr>
          <w:p w14:paraId="3E596705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55, 56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BB40A1" w14:paraId="47134FB2" w14:textId="77777777">
        <w:trPr>
          <w:trHeight w:val="680"/>
        </w:trPr>
        <w:tc>
          <w:tcPr>
            <w:tcW w:w="470" w:type="dxa"/>
            <w:vMerge/>
          </w:tcPr>
          <w:p w14:paraId="42EC887D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2" w:type="dxa"/>
            <w:vMerge/>
          </w:tcPr>
          <w:p w14:paraId="073CEA25" w14:textId="77777777" w:rsidR="00BB40A1" w:rsidRDefault="00BB40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5" w:type="dxa"/>
          </w:tcPr>
          <w:p w14:paraId="46EF52E6" w14:textId="77777777" w:rsidR="00BB40A1" w:rsidRDefault="00BB40A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64C2A01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F44A26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3" w:type="dxa"/>
          </w:tcPr>
          <w:p w14:paraId="40CD48D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6.3. Выдача Сетевой организацией Акта об отсоединении энергопринимающих устройств заявителю и направление Акта в энергосбытовую организацию</w:t>
            </w:r>
          </w:p>
        </w:tc>
        <w:tc>
          <w:tcPr>
            <w:tcW w:w="2268" w:type="dxa"/>
          </w:tcPr>
          <w:p w14:paraId="1E70C41D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письменной форме способом, позволяющим установить дату отправки и получения указанного акта</w:t>
            </w:r>
          </w:p>
        </w:tc>
        <w:tc>
          <w:tcPr>
            <w:tcW w:w="2410" w:type="dxa"/>
          </w:tcPr>
          <w:p w14:paraId="67205C1B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течение 5 рабочих дней </w:t>
            </w:r>
          </w:p>
          <w:p w14:paraId="5F7A7443" w14:textId="77777777" w:rsidR="00BB40A1" w:rsidRDefault="00BB40A1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8" w:type="dxa"/>
          </w:tcPr>
          <w:p w14:paraId="77CB233A" w14:textId="77777777" w:rsidR="00BB40A1" w:rsidRDefault="000B568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Пункт 56 Правил технологического присоединения энергопринимающих устройств потребителей электрической энергии</w:t>
            </w:r>
          </w:p>
        </w:tc>
      </w:tr>
    </w:tbl>
    <w:p w14:paraId="4AE54198" w14:textId="77777777" w:rsidR="00BB40A1" w:rsidRDefault="00BB40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B40A1" w:rsidSect="001D69CE">
      <w:footerReference w:type="default" r:id="rId8"/>
      <w:pgSz w:w="16838" w:h="11906" w:orient="landscape"/>
      <w:pgMar w:top="720" w:right="720" w:bottom="720" w:left="720" w:header="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6E2E2" w14:textId="77777777" w:rsidR="00D3768A" w:rsidRDefault="00D3768A">
      <w:pPr>
        <w:spacing w:after="0" w:line="240" w:lineRule="auto"/>
      </w:pPr>
      <w:r>
        <w:separator/>
      </w:r>
    </w:p>
  </w:endnote>
  <w:endnote w:type="continuationSeparator" w:id="0">
    <w:p w14:paraId="281E8B4D" w14:textId="77777777" w:rsidR="00D3768A" w:rsidRDefault="00D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83C6" w14:textId="77777777" w:rsidR="00AB262E" w:rsidRDefault="00AB26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3931C" w14:textId="77777777" w:rsidR="00D3768A" w:rsidRDefault="00D3768A">
      <w:pPr>
        <w:spacing w:after="0" w:line="240" w:lineRule="auto"/>
      </w:pPr>
      <w:r>
        <w:separator/>
      </w:r>
    </w:p>
  </w:footnote>
  <w:footnote w:type="continuationSeparator" w:id="0">
    <w:p w14:paraId="31A2016B" w14:textId="77777777" w:rsidR="00D3768A" w:rsidRDefault="00D3768A">
      <w:pPr>
        <w:spacing w:after="0" w:line="240" w:lineRule="auto"/>
      </w:pPr>
      <w:r>
        <w:continuationSeparator/>
      </w:r>
    </w:p>
  </w:footnote>
  <w:footnote w:id="1">
    <w:p w14:paraId="6A1CDBB9" w14:textId="77777777" w:rsidR="00AB262E" w:rsidRDefault="00AB2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Основы функционирования розничных рынков электрической энергии, утвержденные постановлением Правительства РФ от 04.05.2012 № 442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387"/>
    <w:multiLevelType w:val="multilevel"/>
    <w:tmpl w:val="75F0F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2B4573"/>
    <w:multiLevelType w:val="multilevel"/>
    <w:tmpl w:val="1FF8B070"/>
    <w:lvl w:ilvl="0">
      <w:start w:val="1"/>
      <w:numFmt w:val="bullet"/>
      <w:lvlText w:val="−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A1"/>
    <w:rsid w:val="000B5683"/>
    <w:rsid w:val="00162912"/>
    <w:rsid w:val="0018389A"/>
    <w:rsid w:val="001D69CE"/>
    <w:rsid w:val="002231B8"/>
    <w:rsid w:val="00305BAB"/>
    <w:rsid w:val="00380C02"/>
    <w:rsid w:val="004674E8"/>
    <w:rsid w:val="0048583A"/>
    <w:rsid w:val="00507734"/>
    <w:rsid w:val="005E3132"/>
    <w:rsid w:val="005E3311"/>
    <w:rsid w:val="00626A06"/>
    <w:rsid w:val="006460A9"/>
    <w:rsid w:val="006E650F"/>
    <w:rsid w:val="007C304B"/>
    <w:rsid w:val="007C3692"/>
    <w:rsid w:val="007E0F8A"/>
    <w:rsid w:val="00875A4F"/>
    <w:rsid w:val="0094375D"/>
    <w:rsid w:val="009B2AE2"/>
    <w:rsid w:val="00A26584"/>
    <w:rsid w:val="00AB262E"/>
    <w:rsid w:val="00AB378E"/>
    <w:rsid w:val="00BB40A1"/>
    <w:rsid w:val="00D3768A"/>
    <w:rsid w:val="00D637D4"/>
    <w:rsid w:val="00D72860"/>
    <w:rsid w:val="00E13F8C"/>
    <w:rsid w:val="00E864F8"/>
    <w:rsid w:val="00E876CC"/>
    <w:rsid w:val="00EE690E"/>
    <w:rsid w:val="00F864F1"/>
    <w:rsid w:val="00FC30B5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A799"/>
  <w15:docId w15:val="{2BC6E86E-44DA-40C7-AC4A-42B0D19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FD5BE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 w:themeColor="text1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FD5BE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D5BE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D5BE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64F8"/>
  </w:style>
  <w:style w:type="paragraph" w:styleId="af2">
    <w:name w:val="footer"/>
    <w:basedOn w:val="a"/>
    <w:link w:val="af3"/>
    <w:uiPriority w:val="99"/>
    <w:unhideWhenUsed/>
    <w:rsid w:val="00E8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64F8"/>
  </w:style>
  <w:style w:type="character" w:customStyle="1" w:styleId="20">
    <w:name w:val="Основной текст (2)_"/>
    <w:basedOn w:val="a0"/>
    <w:link w:val="21"/>
    <w:rsid w:val="00E864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864F8"/>
    <w:pPr>
      <w:widowControl w:val="0"/>
      <w:shd w:val="clear" w:color="auto" w:fill="FFFFFF"/>
      <w:spacing w:after="0" w:line="278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Сноска_"/>
    <w:basedOn w:val="a0"/>
    <w:link w:val="af5"/>
    <w:rsid w:val="00E864F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5">
    <w:name w:val="Сноска"/>
    <w:basedOn w:val="a"/>
    <w:link w:val="af4"/>
    <w:rsid w:val="00E864F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05pt">
    <w:name w:val="Основной текст (2) + 10;5 pt"/>
    <w:basedOn w:val="20"/>
    <w:rsid w:val="00EE69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1D69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1D69C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A0E7-E83D-4FC3-87FF-C5885731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AltSetKomp4</dc:creator>
  <cp:lastModifiedBy>Sergey</cp:lastModifiedBy>
  <cp:revision>2</cp:revision>
  <dcterms:created xsi:type="dcterms:W3CDTF">2021-04-01T16:55:00Z</dcterms:created>
  <dcterms:modified xsi:type="dcterms:W3CDTF">2021-04-01T16:55:00Z</dcterms:modified>
</cp:coreProperties>
</file>